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47BB">
      <w:pPr>
        <w:widowControl w:val="0"/>
        <w:autoSpaceDE w:val="0"/>
        <w:autoSpaceDN w:val="0"/>
        <w:adjustRightInd w:val="0"/>
        <w:spacing w:after="0" w:line="240" w:lineRule="auto"/>
        <w:rPr>
          <w:rFonts w:ascii="Times New Roman" w:hAnsi="Times New Roman" w:cs="Times New Roman"/>
          <w:sz w:val="24"/>
          <w:szCs w:val="24"/>
        </w:rPr>
      </w:pPr>
    </w:p>
    <w:p w:rsidR="00000000" w:rsidRDefault="001D47BB">
      <w:pPr>
        <w:widowControl w:val="0"/>
        <w:autoSpaceDE w:val="0"/>
        <w:autoSpaceDN w:val="0"/>
        <w:adjustRightInd w:val="0"/>
        <w:spacing w:after="0" w:line="240" w:lineRule="auto"/>
        <w:rPr>
          <w:rFonts w:ascii="Arial" w:hAnsi="Arial" w:cs="Arial"/>
          <w:sz w:val="24"/>
          <w:szCs w:val="24"/>
        </w:rPr>
        <w:sectPr w:rsidR="00000000">
          <w:headerReference w:type="default" r:id="rId6"/>
          <w:footerReference w:type="default" r:id="rId7"/>
          <w:pgSz w:w="12240" w:h="15840"/>
          <w:pgMar w:top="1080" w:right="1080" w:bottom="1080" w:left="1080" w:header="720" w:footer="720" w:gutter="0"/>
          <w:cols w:space="720"/>
          <w:noEndnote/>
        </w:sectPr>
      </w:pP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0" w:name="co_document_1"/>
      <w:bookmarkStart w:id="1" w:name="I1934ba207f0811e5804ce6d32254bbbf_Target"/>
      <w:bookmarkEnd w:id="0"/>
      <w:bookmarkEnd w:id="1"/>
    </w:p>
    <w:p w:rsidR="00000000" w:rsidRDefault="001D47BB">
      <w:pPr>
        <w:widowControl w:val="0"/>
        <w:autoSpaceDE w:val="0"/>
        <w:autoSpaceDN w:val="0"/>
        <w:adjustRightInd w:val="0"/>
        <w:spacing w:before="100" w:after="0" w:line="240" w:lineRule="auto"/>
        <w:jc w:val="center"/>
        <w:rPr>
          <w:rFonts w:ascii="Georgia" w:hAnsi="Georgia" w:cs="Georgia"/>
          <w:color w:val="000000"/>
          <w:sz w:val="20"/>
          <w:szCs w:val="20"/>
        </w:rPr>
      </w:pPr>
      <w:r>
        <w:rPr>
          <w:rFonts w:ascii="Georgia" w:hAnsi="Georgia" w:cs="Georgia"/>
          <w:color w:val="000000"/>
          <w:sz w:val="20"/>
          <w:szCs w:val="20"/>
        </w:rPr>
        <w:t>2015 WL 6560655</w:t>
      </w:r>
    </w:p>
    <w:p w:rsidR="00000000" w:rsidRDefault="001D47BB">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Only th</w:t>
      </w:r>
      <w:r>
        <w:rPr>
          <w:rFonts w:ascii="Georgia" w:hAnsi="Georgia" w:cs="Georgia"/>
          <w:color w:val="000000"/>
          <w:sz w:val="20"/>
          <w:szCs w:val="20"/>
        </w:rPr>
        <w:t>e Westlaw citation is currently available.</w:t>
      </w:r>
    </w:p>
    <w:p w:rsidR="00000000" w:rsidRDefault="001D47BB">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United States District Court,</w:t>
      </w:r>
    </w:p>
    <w:p w:rsidR="00000000" w:rsidRDefault="001D47BB">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M.D. Alabama, Northern Division.</w:t>
      </w:r>
    </w:p>
    <w:p w:rsidR="00000000" w:rsidRDefault="001D47BB">
      <w:pPr>
        <w:widowControl w:val="0"/>
        <w:autoSpaceDE w:val="0"/>
        <w:autoSpaceDN w:val="0"/>
        <w:adjustRightInd w:val="0"/>
        <w:spacing w:before="200" w:after="0" w:line="240" w:lineRule="auto"/>
        <w:ind w:left="100" w:right="100"/>
        <w:jc w:val="center"/>
        <w:rPr>
          <w:rFonts w:ascii="Georgia" w:hAnsi="Georgia" w:cs="Georgia"/>
          <w:color w:val="252525"/>
          <w:sz w:val="20"/>
          <w:szCs w:val="20"/>
        </w:rPr>
      </w:pPr>
      <w:r>
        <w:rPr>
          <w:rFonts w:ascii="Georgia" w:hAnsi="Georgia" w:cs="Georgia"/>
          <w:color w:val="252525"/>
          <w:sz w:val="20"/>
          <w:szCs w:val="20"/>
        </w:rPr>
        <w:t>Roger Isaacs, Plaintiff,</w:t>
      </w:r>
    </w:p>
    <w:p w:rsidR="00000000" w:rsidRDefault="001D47BB">
      <w:pPr>
        <w:widowControl w:val="0"/>
        <w:autoSpaceDE w:val="0"/>
        <w:autoSpaceDN w:val="0"/>
        <w:adjustRightInd w:val="0"/>
        <w:spacing w:after="0" w:line="240" w:lineRule="auto"/>
        <w:ind w:left="100" w:right="100"/>
        <w:jc w:val="center"/>
        <w:rPr>
          <w:rFonts w:ascii="Georgia" w:hAnsi="Georgia" w:cs="Georgia"/>
          <w:color w:val="252525"/>
          <w:sz w:val="20"/>
          <w:szCs w:val="20"/>
        </w:rPr>
      </w:pPr>
      <w:proofErr w:type="gramStart"/>
      <w:r>
        <w:rPr>
          <w:rFonts w:ascii="Georgia" w:hAnsi="Georgia" w:cs="Georgia"/>
          <w:color w:val="252525"/>
          <w:sz w:val="20"/>
          <w:szCs w:val="20"/>
        </w:rPr>
        <w:t>v</w:t>
      </w:r>
      <w:proofErr w:type="gramEnd"/>
      <w:r>
        <w:rPr>
          <w:rFonts w:ascii="Georgia" w:hAnsi="Georgia" w:cs="Georgia"/>
          <w:color w:val="252525"/>
          <w:sz w:val="20"/>
          <w:szCs w:val="20"/>
        </w:rPr>
        <w:t>.</w:t>
      </w:r>
    </w:p>
    <w:p w:rsidR="00000000" w:rsidRDefault="001D47BB">
      <w:pPr>
        <w:widowControl w:val="0"/>
        <w:autoSpaceDE w:val="0"/>
        <w:autoSpaceDN w:val="0"/>
        <w:adjustRightInd w:val="0"/>
        <w:spacing w:line="240" w:lineRule="auto"/>
        <w:ind w:left="100" w:right="100"/>
        <w:jc w:val="center"/>
        <w:rPr>
          <w:rFonts w:ascii="Georgia" w:hAnsi="Georgia" w:cs="Georgia"/>
          <w:color w:val="252525"/>
          <w:sz w:val="20"/>
          <w:szCs w:val="20"/>
        </w:rPr>
      </w:pPr>
      <w:r>
        <w:rPr>
          <w:rFonts w:ascii="Georgia" w:hAnsi="Georgia" w:cs="Georgia"/>
          <w:color w:val="252525"/>
          <w:sz w:val="20"/>
          <w:szCs w:val="20"/>
        </w:rPr>
        <w:t>Felder Services, LLC, Defendant.</w:t>
      </w:r>
    </w:p>
    <w:p w:rsidR="00000000" w:rsidRDefault="001D47BB">
      <w:pPr>
        <w:widowControl w:val="0"/>
        <w:autoSpaceDE w:val="0"/>
        <w:autoSpaceDN w:val="0"/>
        <w:adjustRightInd w:val="0"/>
        <w:spacing w:line="240" w:lineRule="auto"/>
        <w:jc w:val="center"/>
        <w:rPr>
          <w:rFonts w:ascii="Georgia" w:hAnsi="Georgia" w:cs="Georgia"/>
          <w:color w:val="000000"/>
          <w:sz w:val="20"/>
          <w:szCs w:val="20"/>
        </w:rPr>
      </w:pPr>
      <w:proofErr w:type="gramStart"/>
      <w:r>
        <w:rPr>
          <w:rFonts w:ascii="Georgia" w:hAnsi="Georgia" w:cs="Georgia"/>
          <w:color w:val="000000"/>
          <w:sz w:val="20"/>
          <w:szCs w:val="20"/>
        </w:rPr>
        <w:t>CIVIL ACTION NO.</w:t>
      </w:r>
      <w:proofErr w:type="gramEnd"/>
      <w:r>
        <w:rPr>
          <w:rFonts w:ascii="Georgia" w:hAnsi="Georgia" w:cs="Georgia"/>
          <w:color w:val="000000"/>
          <w:sz w:val="20"/>
          <w:szCs w:val="20"/>
        </w:rPr>
        <w:t xml:space="preserve"> 2:13cv693</w:t>
      </w:r>
      <w:r>
        <w:rPr>
          <w:rFonts w:ascii="Georgia" w:hAnsi="Georgia" w:cs="Georgia"/>
          <w:color w:val="000000"/>
          <w:sz w:val="20"/>
          <w:szCs w:val="20"/>
        </w:rPr>
        <w:t>–</w:t>
      </w:r>
      <w:r>
        <w:rPr>
          <w:rFonts w:ascii="Georgia" w:hAnsi="Georgia" w:cs="Georgia"/>
          <w:color w:val="000000"/>
          <w:sz w:val="20"/>
          <w:szCs w:val="20"/>
        </w:rPr>
        <w:t>MHT | Signed October 29, 2015</w:t>
      </w:r>
    </w:p>
    <w:p w:rsidR="00000000" w:rsidRDefault="001D47BB">
      <w:pPr>
        <w:widowControl w:val="0"/>
        <w:autoSpaceDE w:val="0"/>
        <w:autoSpaceDN w:val="0"/>
        <w:adjustRightInd w:val="0"/>
        <w:spacing w:before="200" w:line="240" w:lineRule="auto"/>
        <w:jc w:val="both"/>
        <w:rPr>
          <w:rFonts w:ascii="Times New Roman" w:hAnsi="Times New Roman" w:cs="Times New Roman"/>
          <w:b/>
          <w:bCs/>
          <w:color w:val="252525"/>
          <w:sz w:val="20"/>
          <w:szCs w:val="20"/>
        </w:rPr>
      </w:pPr>
      <w:bookmarkStart w:id="2" w:name="co_attorneysAndLawFirms_1"/>
      <w:bookmarkEnd w:id="2"/>
      <w:r>
        <w:rPr>
          <w:rFonts w:ascii="Times New Roman" w:hAnsi="Times New Roman" w:cs="Times New Roman"/>
          <w:b/>
          <w:bCs/>
          <w:color w:val="252525"/>
          <w:sz w:val="20"/>
          <w:szCs w:val="20"/>
        </w:rPr>
        <w:t>Attorneys and Law Firms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8" w:history="1">
        <w:proofErr w:type="gramStart"/>
        <w:r>
          <w:rPr>
            <w:rFonts w:ascii="Times New Roman" w:hAnsi="Times New Roman" w:cs="Times New Roman"/>
            <w:color w:val="0000FF"/>
            <w:sz w:val="20"/>
            <w:szCs w:val="20"/>
          </w:rPr>
          <w:t>Benjamin Howard Cooper</w:t>
        </w:r>
      </w:hyperlink>
      <w:r>
        <w:rPr>
          <w:rFonts w:ascii="Times New Roman" w:hAnsi="Times New Roman" w:cs="Times New Roman"/>
          <w:color w:val="000000"/>
          <w:sz w:val="20"/>
          <w:szCs w:val="20"/>
        </w:rPr>
        <w:t>, Cooper Law Group, LLC, Birmingham, AL, for Plaintiff.</w:t>
      </w:r>
      <w:proofErr w:type="gramEnd"/>
    </w:p>
    <w:p w:rsidR="00000000" w:rsidRDefault="001D47B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9" w:history="1">
        <w:proofErr w:type="gramStart"/>
        <w:r>
          <w:rPr>
            <w:rFonts w:ascii="Times New Roman" w:hAnsi="Times New Roman" w:cs="Times New Roman"/>
            <w:color w:val="0000FF"/>
            <w:sz w:val="20"/>
            <w:szCs w:val="20"/>
          </w:rPr>
          <w:t>Thomas O. Gaillard, III</w:t>
        </w:r>
      </w:hyperlink>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Satterwhite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Druhan</w:t>
      </w:r>
      <w:proofErr w:type="spellEnd"/>
      <w:r>
        <w:rPr>
          <w:rFonts w:ascii="Times New Roman" w:hAnsi="Times New Roman" w:cs="Times New Roman"/>
          <w:color w:val="000000"/>
          <w:sz w:val="20"/>
          <w:szCs w:val="20"/>
        </w:rPr>
        <w:t>, Gaillard &amp; Tyler, LLC, Mobile, AL, for Defendant.</w:t>
      </w:r>
      <w:proofErr w:type="gramEnd"/>
    </w:p>
    <w:p w:rsidR="00000000" w:rsidRDefault="001D47BB">
      <w:pPr>
        <w:widowControl w:val="0"/>
        <w:autoSpaceDE w:val="0"/>
        <w:autoSpaceDN w:val="0"/>
        <w:adjustRightInd w:val="0"/>
        <w:spacing w:after="0" w:line="240" w:lineRule="auto"/>
        <w:jc w:val="both"/>
        <w:rPr>
          <w:rFonts w:ascii="Times New Roman" w:hAnsi="Times New Roman" w:cs="Times New Roman"/>
          <w:b/>
          <w:bCs/>
          <w:color w:val="252525"/>
          <w:sz w:val="20"/>
          <w:szCs w:val="20"/>
        </w:rPr>
      </w:pPr>
      <w:bookmarkStart w:id="3" w:name="co_opinion_1"/>
      <w:bookmarkEnd w:id="3"/>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 w:name="co_anchor_Ic4e21bb2823811e598dc8b09b4f04"/>
      <w:bookmarkEnd w:id="4"/>
    </w:p>
    <w:p w:rsidR="00000000" w:rsidRDefault="001D47BB">
      <w:pPr>
        <w:widowControl w:val="0"/>
        <w:autoSpaceDE w:val="0"/>
        <w:autoSpaceDN w:val="0"/>
        <w:adjustRightInd w:val="0"/>
        <w:spacing w:before="6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OPINION</w:t>
      </w:r>
    </w:p>
    <w:p w:rsidR="00000000" w:rsidRDefault="001D47BB">
      <w:pPr>
        <w:widowControl w:val="0"/>
        <w:autoSpaceDE w:val="0"/>
        <w:autoSpaceDN w:val="0"/>
        <w:adjustRightInd w:val="0"/>
        <w:spacing w:before="200" w:line="240" w:lineRule="auto"/>
        <w:jc w:val="both"/>
        <w:rPr>
          <w:rFonts w:ascii="Times New Roman" w:hAnsi="Times New Roman" w:cs="Times New Roman"/>
          <w:color w:val="000000"/>
          <w:sz w:val="20"/>
          <w:szCs w:val="20"/>
        </w:rPr>
      </w:pPr>
      <w:hyperlink r:id="rId10" w:history="1">
        <w:r>
          <w:rPr>
            <w:rFonts w:ascii="Times New Roman" w:hAnsi="Times New Roman" w:cs="Times New Roman"/>
            <w:color w:val="0000FF"/>
            <w:sz w:val="20"/>
            <w:szCs w:val="20"/>
          </w:rPr>
          <w:t>Myron H. Thompson</w:t>
        </w:r>
      </w:hyperlink>
      <w:r>
        <w:rPr>
          <w:rFonts w:ascii="Times New Roman" w:hAnsi="Times New Roman" w:cs="Times New Roman"/>
          <w:color w:val="000000"/>
          <w:sz w:val="20"/>
          <w:szCs w:val="20"/>
        </w:rPr>
        <w:t>, UNIT</w:t>
      </w:r>
      <w:r>
        <w:rPr>
          <w:rFonts w:ascii="Times New Roman" w:hAnsi="Times New Roman" w:cs="Times New Roman"/>
          <w:color w:val="000000"/>
          <w:sz w:val="20"/>
          <w:szCs w:val="20"/>
        </w:rPr>
        <w:t>ED STATES DISTRICT JUDGE</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 w:name="co_pp_sp_999_1_1"/>
      <w:bookmarkEnd w:id="5"/>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This</w:t>
      </w:r>
      <w:proofErr w:type="gramEnd"/>
      <w:r>
        <w:rPr>
          <w:rFonts w:ascii="Times New Roman" w:hAnsi="Times New Roman" w:cs="Times New Roman"/>
          <w:color w:val="000000"/>
          <w:sz w:val="20"/>
          <w:szCs w:val="20"/>
        </w:rPr>
        <w:t xml:space="preserve"> is an employment-discrimination case. Plaintiff Roger Isaacs alleges that defendant Felder Services, LLC, his former employer, (1) discriminated against him (by firing him) on the basis of hi</w:t>
      </w:r>
      <w:r>
        <w:rPr>
          <w:rFonts w:ascii="Times New Roman" w:hAnsi="Times New Roman" w:cs="Times New Roman"/>
          <w:color w:val="000000"/>
          <w:sz w:val="20"/>
          <w:szCs w:val="20"/>
        </w:rPr>
        <w:t>s sex, gender non-conformity, and sexual orientation; (2) subjected him to sexual harassment which created a hostile-work environment; and (3) retaliated against him for complaining about that harassment, all in violation of Title VII of the Civil Rights A</w:t>
      </w:r>
      <w:r>
        <w:rPr>
          <w:rFonts w:ascii="Times New Roman" w:hAnsi="Times New Roman" w:cs="Times New Roman"/>
          <w:color w:val="000000"/>
          <w:sz w:val="20"/>
          <w:szCs w:val="20"/>
        </w:rPr>
        <w:t xml:space="preserve">ct of 1964, as amended, </w:t>
      </w:r>
      <w:hyperlink r:id="rId11" w:history="1">
        <w:r>
          <w:rPr>
            <w:rFonts w:ascii="Times New Roman" w:hAnsi="Times New Roman" w:cs="Times New Roman"/>
            <w:color w:val="0000FF"/>
            <w:sz w:val="20"/>
            <w:szCs w:val="20"/>
          </w:rPr>
          <w:t xml:space="preserve">42 U.S.C. § 2000e </w:t>
        </w:r>
        <w:r>
          <w:rPr>
            <w:rFonts w:ascii="Times New Roman" w:hAnsi="Times New Roman" w:cs="Times New Roman"/>
            <w:i/>
            <w:iCs/>
            <w:color w:val="0000FF"/>
            <w:sz w:val="20"/>
            <w:szCs w:val="20"/>
          </w:rPr>
          <w:t>et seq.</w:t>
        </w:r>
      </w:hyperlink>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lawsuit is now before the court on </w:t>
      </w:r>
      <w:proofErr w:type="gramStart"/>
      <w:r>
        <w:rPr>
          <w:rFonts w:ascii="Times New Roman" w:hAnsi="Times New Roman" w:cs="Times New Roman"/>
          <w:color w:val="000000"/>
          <w:sz w:val="20"/>
          <w:szCs w:val="20"/>
        </w:rPr>
        <w:t>the that</w:t>
      </w:r>
      <w:proofErr w:type="gramEnd"/>
      <w:r>
        <w:rPr>
          <w:rFonts w:ascii="Times New Roman" w:hAnsi="Times New Roman" w:cs="Times New Roman"/>
          <w:color w:val="000000"/>
          <w:sz w:val="20"/>
          <w:szCs w:val="20"/>
        </w:rPr>
        <w:t xml:space="preserve"> summary judgment should be granted in favor of Felder Services on all three claims.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Report and Recommendation (doc. no. 41) (hereafter </w:t>
      </w:r>
      <w:r>
        <w:rPr>
          <w:rFonts w:ascii="Times New Roman" w:hAnsi="Times New Roman" w:cs="Times New Roman"/>
          <w:color w:val="000000"/>
          <w:sz w:val="20"/>
          <w:szCs w:val="20"/>
        </w:rPr>
        <w:t>“</w:t>
      </w:r>
      <w:r>
        <w:rPr>
          <w:rFonts w:ascii="Times New Roman" w:hAnsi="Times New Roman" w:cs="Times New Roman"/>
          <w:color w:val="000000"/>
          <w:sz w:val="20"/>
          <w:szCs w:val="20"/>
        </w:rPr>
        <w:t>R &amp; R</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There are no objections to the recommendation. After an independent and de novo review of the record, the court concludes that the magistrate judge’s recommendation should be adopted, albeit for somewhat different reasons.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2" w:history="1">
        <w:proofErr w:type="spellStart"/>
        <w:r>
          <w:rPr>
            <w:rFonts w:ascii="Times New Roman" w:hAnsi="Times New Roman" w:cs="Times New Roman"/>
            <w:color w:val="0000FF"/>
            <w:sz w:val="20"/>
            <w:szCs w:val="20"/>
          </w:rPr>
          <w:t>Fed.R.Civ.P</w:t>
        </w:r>
        <w:proofErr w:type="spellEnd"/>
        <w:r>
          <w:rPr>
            <w:rFonts w:ascii="Times New Roman" w:hAnsi="Times New Roman" w:cs="Times New Roman"/>
            <w:color w:val="0000FF"/>
            <w:sz w:val="20"/>
            <w:szCs w:val="20"/>
          </w:rPr>
          <w:t>. 59(b</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3)</w:t>
        </w:r>
      </w:hyperlink>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These reasons are set out below.</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 w:name="co_anchor_Ic4e21bb3823811e598dc8b09b4f04"/>
      <w:bookmarkEnd w:id="6"/>
    </w:p>
    <w:p w:rsidR="00000000" w:rsidRDefault="001D47BB">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1. Facts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Because the facts are set out in detail in the R &amp; R, they are summarized only briefly here.</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Isaacs is a gay man. For about six </w:t>
      </w:r>
      <w:r>
        <w:rPr>
          <w:rFonts w:ascii="Times New Roman" w:hAnsi="Times New Roman" w:cs="Times New Roman"/>
          <w:color w:val="000000"/>
          <w:sz w:val="20"/>
          <w:szCs w:val="20"/>
        </w:rPr>
        <w:t xml:space="preserve">months, he was an employee of Felder Services, which provides services to healthcare facilities (Isaacs worked as a dietician). Felder Services had a contract with Arbor Springs Health and Rehabilitation Center in Opelika, Alabama, and Isaacs was assigned </w:t>
      </w:r>
      <w:r>
        <w:rPr>
          <w:rFonts w:ascii="Times New Roman" w:hAnsi="Times New Roman" w:cs="Times New Roman"/>
          <w:color w:val="000000"/>
          <w:sz w:val="20"/>
          <w:szCs w:val="20"/>
        </w:rPr>
        <w:t>to work there.</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Isaacs worked with employees of both Felder Services and Arbor Springs, but had no on-site supervisor. Instead, his boss was Debbie </w:t>
      </w:r>
      <w:proofErr w:type="spellStart"/>
      <w:r>
        <w:rPr>
          <w:rFonts w:ascii="Times New Roman" w:hAnsi="Times New Roman" w:cs="Times New Roman"/>
          <w:color w:val="000000"/>
          <w:sz w:val="20"/>
          <w:szCs w:val="20"/>
        </w:rPr>
        <w:t>McGarvey</w:t>
      </w:r>
      <w:proofErr w:type="spellEnd"/>
      <w:r>
        <w:rPr>
          <w:rFonts w:ascii="Times New Roman" w:hAnsi="Times New Roman" w:cs="Times New Roman"/>
          <w:color w:val="000000"/>
          <w:sz w:val="20"/>
          <w:szCs w:val="20"/>
        </w:rPr>
        <w:t>, a regional supervisor for Felder Services. There is no evidence to suggest that Felder Services e</w:t>
      </w:r>
      <w:r>
        <w:rPr>
          <w:rFonts w:ascii="Times New Roman" w:hAnsi="Times New Roman" w:cs="Times New Roman"/>
          <w:color w:val="000000"/>
          <w:sz w:val="20"/>
          <w:szCs w:val="20"/>
        </w:rPr>
        <w:t xml:space="preserve">xercised authority over </w:t>
      </w:r>
      <w:proofErr w:type="gramStart"/>
      <w:r>
        <w:rPr>
          <w:rFonts w:ascii="Times New Roman" w:hAnsi="Times New Roman" w:cs="Times New Roman"/>
          <w:color w:val="000000"/>
          <w:sz w:val="20"/>
          <w:szCs w:val="20"/>
        </w:rPr>
        <w:t>Arbor Springs</w:t>
      </w:r>
      <w:proofErr w:type="gramEnd"/>
      <w:r>
        <w:rPr>
          <w:rFonts w:ascii="Times New Roman" w:hAnsi="Times New Roman" w:cs="Times New Roman"/>
          <w:color w:val="000000"/>
          <w:sz w:val="20"/>
          <w:szCs w:val="20"/>
        </w:rPr>
        <w:t xml:space="preserve"> employees at the facility or that anyone at Arbor Springs exercised authority over Isaacs. This court has previously dismissed Isaacs’s claims against Arbor Springs, ruling that it was not Isaacs’s employer or co-emplo</w:t>
      </w:r>
      <w:r>
        <w:rPr>
          <w:rFonts w:ascii="Times New Roman" w:hAnsi="Times New Roman" w:cs="Times New Roman"/>
          <w:color w:val="000000"/>
          <w:sz w:val="20"/>
          <w:szCs w:val="20"/>
        </w:rPr>
        <w:t xml:space="preserve">yer.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3" w:history="1">
        <w:r>
          <w:rPr>
            <w:rFonts w:ascii="Times New Roman" w:hAnsi="Times New Roman" w:cs="Times New Roman"/>
            <w:i/>
            <w:iCs/>
            <w:color w:val="0000FF"/>
            <w:sz w:val="20"/>
            <w:szCs w:val="20"/>
          </w:rPr>
          <w:t xml:space="preserve">Isaacs v. Felder </w:t>
        </w:r>
        <w:proofErr w:type="spellStart"/>
        <w:r>
          <w:rPr>
            <w:rFonts w:ascii="Times New Roman" w:hAnsi="Times New Roman" w:cs="Times New Roman"/>
            <w:i/>
            <w:iCs/>
            <w:color w:val="0000FF"/>
            <w:sz w:val="20"/>
            <w:szCs w:val="20"/>
          </w:rPr>
          <w:t>Servs</w:t>
        </w:r>
        <w:proofErr w:type="spellEnd"/>
        <w:r>
          <w:rPr>
            <w:rFonts w:ascii="Times New Roman" w:hAnsi="Times New Roman" w:cs="Times New Roman"/>
            <w:i/>
            <w:iCs/>
            <w:color w:val="0000FF"/>
            <w:sz w:val="20"/>
            <w:szCs w:val="20"/>
          </w:rPr>
          <w:t>., LLC,</w:t>
        </w:r>
        <w:r>
          <w:rPr>
            <w:rFonts w:ascii="Times New Roman" w:hAnsi="Times New Roman" w:cs="Times New Roman"/>
            <w:color w:val="0000FF"/>
            <w:sz w:val="20"/>
            <w:szCs w:val="20"/>
          </w:rPr>
          <w:t xml:space="preserve"> No. 2:13–CV–693–MEF, 2014 WL 2806128 (</w:t>
        </w:r>
        <w:proofErr w:type="spellStart"/>
        <w:r>
          <w:rPr>
            <w:rFonts w:ascii="Times New Roman" w:hAnsi="Times New Roman" w:cs="Times New Roman"/>
            <w:color w:val="0000FF"/>
            <w:sz w:val="20"/>
            <w:szCs w:val="20"/>
          </w:rPr>
          <w:t>M.D.Ala</w:t>
        </w:r>
        <w:proofErr w:type="spellEnd"/>
        <w:r>
          <w:rPr>
            <w:rFonts w:ascii="Times New Roman" w:hAnsi="Times New Roman" w:cs="Times New Roman"/>
            <w:color w:val="0000FF"/>
            <w:sz w:val="20"/>
            <w:szCs w:val="20"/>
          </w:rPr>
          <w:t>. 2014</w:t>
        </w:r>
        <w:proofErr w:type="gramStart"/>
        <w:r>
          <w:rPr>
            <w:rFonts w:ascii="Times New Roman" w:hAnsi="Times New Roman" w:cs="Times New Roman"/>
            <w:color w:val="0000FF"/>
            <w:sz w:val="20"/>
            <w:szCs w:val="20"/>
          </w:rPr>
          <w:t>)</w:t>
        </w:r>
        <w:proofErr w:type="gramEnd"/>
      </w:hyperlink>
      <w:r>
        <w:rPr>
          <w:rFonts w:ascii="Times New Roman" w:hAnsi="Times New Roman" w:cs="Times New Roman"/>
          <w:color w:val="000000"/>
          <w:sz w:val="20"/>
          <w:szCs w:val="20"/>
        </w:rPr>
        <w:t>(Fuller, J.).</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McGarvey</w:t>
      </w:r>
      <w:proofErr w:type="spellEnd"/>
      <w:r>
        <w:rPr>
          <w:rFonts w:ascii="Times New Roman" w:hAnsi="Times New Roman" w:cs="Times New Roman"/>
          <w:color w:val="000000"/>
          <w:sz w:val="20"/>
          <w:szCs w:val="20"/>
        </w:rPr>
        <w:t xml:space="preserve"> asked Isaacs to work at another facility in Florala, Alabama, once every three weeks. Because Isaacs had been injured in a car accid</w:t>
      </w:r>
      <w:r>
        <w:rPr>
          <w:rFonts w:ascii="Times New Roman" w:hAnsi="Times New Roman" w:cs="Times New Roman"/>
          <w:color w:val="000000"/>
          <w:sz w:val="20"/>
          <w:szCs w:val="20"/>
        </w:rPr>
        <w:t xml:space="preserve">ent, he asked for, and was given, permission for a man he identified as his brother but who was actually his husband to drive him to Florala, and for the two to stay overnight there. (There is a dispute as to whether </w:t>
      </w:r>
      <w:proofErr w:type="spellStart"/>
      <w:r>
        <w:rPr>
          <w:rFonts w:ascii="Times New Roman" w:hAnsi="Times New Roman" w:cs="Times New Roman"/>
          <w:color w:val="000000"/>
          <w:sz w:val="20"/>
          <w:szCs w:val="20"/>
        </w:rPr>
        <w:t>McGarvey</w:t>
      </w:r>
      <w:proofErr w:type="spellEnd"/>
      <w:r>
        <w:rPr>
          <w:rFonts w:ascii="Times New Roman" w:hAnsi="Times New Roman" w:cs="Times New Roman"/>
          <w:color w:val="000000"/>
          <w:sz w:val="20"/>
          <w:szCs w:val="20"/>
        </w:rPr>
        <w:t xml:space="preserve"> authorized Isaacs to seek reim</w:t>
      </w:r>
      <w:r>
        <w:rPr>
          <w:rFonts w:ascii="Times New Roman" w:hAnsi="Times New Roman" w:cs="Times New Roman"/>
          <w:color w:val="000000"/>
          <w:sz w:val="20"/>
          <w:szCs w:val="20"/>
        </w:rPr>
        <w:t>bursement for expenses incurred by his husband.) Isaacs began staying in Florala, with his husband, the nights before and after he was to work in the facility there; he submitted the expenses they both incurred for reimbursement by Felder Services.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ad</w:t>
      </w:r>
      <w:r>
        <w:rPr>
          <w:rFonts w:ascii="Times New Roman" w:hAnsi="Times New Roman" w:cs="Times New Roman"/>
          <w:color w:val="000000"/>
          <w:sz w:val="20"/>
          <w:szCs w:val="20"/>
        </w:rPr>
        <w:t>dition, Isaacs brought his mother along on some of his trips to Florala, and he submitted multiple reimbursement requests for meals and lodging for her. Isaacs offers no evidence</w:t>
      </w:r>
      <w:r>
        <w:rPr>
          <w:rFonts w:ascii="Times New Roman" w:hAnsi="Times New Roman" w:cs="Times New Roman"/>
          <w:color w:val="000000"/>
          <w:sz w:val="20"/>
          <w:szCs w:val="20"/>
        </w:rPr>
        <w:t>—</w:t>
      </w:r>
      <w:r>
        <w:rPr>
          <w:rFonts w:ascii="Times New Roman" w:hAnsi="Times New Roman" w:cs="Times New Roman"/>
          <w:color w:val="000000"/>
          <w:sz w:val="20"/>
          <w:szCs w:val="20"/>
        </w:rPr>
        <w:t>even in the form of his own deposition testimony</w:t>
      </w:r>
      <w:r>
        <w:rPr>
          <w:rFonts w:ascii="Times New Roman" w:hAnsi="Times New Roman" w:cs="Times New Roman"/>
          <w:color w:val="000000"/>
          <w:sz w:val="20"/>
          <w:szCs w:val="20"/>
        </w:rPr>
        <w:t>—</w:t>
      </w:r>
      <w:r>
        <w:rPr>
          <w:rFonts w:ascii="Times New Roman" w:hAnsi="Times New Roman" w:cs="Times New Roman"/>
          <w:color w:val="000000"/>
          <w:sz w:val="20"/>
          <w:szCs w:val="20"/>
        </w:rPr>
        <w:t>to suggest that these expens</w:t>
      </w:r>
      <w:r>
        <w:rPr>
          <w:rFonts w:ascii="Times New Roman" w:hAnsi="Times New Roman" w:cs="Times New Roman"/>
          <w:color w:val="000000"/>
          <w:sz w:val="20"/>
          <w:szCs w:val="20"/>
        </w:rPr>
        <w:t xml:space="preserve">es were authorized. Finally, Isaacs submitted a visitor pass from an air force base, on which he had handwritten </w:t>
      </w:r>
      <w:r>
        <w:rPr>
          <w:rFonts w:ascii="Times New Roman" w:hAnsi="Times New Roman" w:cs="Times New Roman"/>
          <w:color w:val="000000"/>
          <w:sz w:val="20"/>
          <w:szCs w:val="20"/>
        </w:rPr>
        <w:t>“</w:t>
      </w:r>
      <w:r>
        <w:rPr>
          <w:rFonts w:ascii="Times New Roman" w:hAnsi="Times New Roman" w:cs="Times New Roman"/>
          <w:color w:val="000000"/>
          <w:sz w:val="20"/>
          <w:szCs w:val="20"/>
        </w:rPr>
        <w:t>$ 50.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Although he gave no explanation for the request when it was submitted (visitor passes are free), he later testified that he had taken h</w:t>
      </w:r>
      <w:r>
        <w:rPr>
          <w:rFonts w:ascii="Times New Roman" w:hAnsi="Times New Roman" w:cs="Times New Roman"/>
          <w:color w:val="000000"/>
          <w:sz w:val="20"/>
          <w:szCs w:val="20"/>
        </w:rPr>
        <w:t>is husband and mother there; because they received no receipt for their meal, he estimated that it had cost $ 50 and wrote that amount on the visitor pass.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 w:name="co_pp_sp_999_2_1"/>
      <w:bookmarkEnd w:id="7"/>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On July 23, 2012, </w:t>
      </w:r>
      <w:proofErr w:type="spellStart"/>
      <w:r>
        <w:rPr>
          <w:rFonts w:ascii="Times New Roman" w:hAnsi="Times New Roman" w:cs="Times New Roman"/>
          <w:color w:val="000000"/>
          <w:sz w:val="20"/>
          <w:szCs w:val="20"/>
        </w:rPr>
        <w:t>Juli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an administrative </w:t>
      </w:r>
      <w:r>
        <w:rPr>
          <w:rFonts w:ascii="Times New Roman" w:hAnsi="Times New Roman" w:cs="Times New Roman"/>
          <w:color w:val="000000"/>
          <w:sz w:val="20"/>
          <w:szCs w:val="20"/>
        </w:rPr>
        <w:lastRenderedPageBreak/>
        <w:t>assistant at</w:t>
      </w:r>
      <w:r>
        <w:rPr>
          <w:rFonts w:ascii="Times New Roman" w:hAnsi="Times New Roman" w:cs="Times New Roman"/>
          <w:color w:val="000000"/>
          <w:sz w:val="20"/>
          <w:szCs w:val="20"/>
        </w:rPr>
        <w:t xml:space="preserve"> Felder Services, began an investigation into Isaacs’s reimbursement requests after noticing that he had submitted requests for three people and finding the visitor pass suspicious. The next day, July 24, </w:t>
      </w:r>
      <w:proofErr w:type="spellStart"/>
      <w:r>
        <w:rPr>
          <w:rFonts w:ascii="Times New Roman" w:hAnsi="Times New Roman" w:cs="Times New Roman"/>
          <w:color w:val="000000"/>
          <w:sz w:val="20"/>
          <w:szCs w:val="20"/>
        </w:rPr>
        <w:t>McGarvey</w:t>
      </w:r>
      <w:proofErr w:type="spellEnd"/>
      <w:r>
        <w:rPr>
          <w:rFonts w:ascii="Times New Roman" w:hAnsi="Times New Roman" w:cs="Times New Roman"/>
          <w:color w:val="000000"/>
          <w:sz w:val="20"/>
          <w:szCs w:val="20"/>
        </w:rPr>
        <w:t xml:space="preserve"> sent Isaacs an e-mail instructing him to s</w:t>
      </w:r>
      <w:r>
        <w:rPr>
          <w:rFonts w:ascii="Times New Roman" w:hAnsi="Times New Roman" w:cs="Times New Roman"/>
          <w:color w:val="000000"/>
          <w:sz w:val="20"/>
          <w:szCs w:val="20"/>
        </w:rPr>
        <w:t xml:space="preserve">end her copies of future expenses for approval; </w:t>
      </w:r>
      <w:proofErr w:type="spellStart"/>
      <w:r>
        <w:rPr>
          <w:rFonts w:ascii="Times New Roman" w:hAnsi="Times New Roman" w:cs="Times New Roman"/>
          <w:color w:val="000000"/>
          <w:sz w:val="20"/>
          <w:szCs w:val="20"/>
        </w:rPr>
        <w:t>McGarvey</w:t>
      </w:r>
      <w:proofErr w:type="spellEnd"/>
      <w:r>
        <w:rPr>
          <w:rFonts w:ascii="Times New Roman" w:hAnsi="Times New Roman" w:cs="Times New Roman"/>
          <w:color w:val="000000"/>
          <w:sz w:val="20"/>
          <w:szCs w:val="20"/>
        </w:rPr>
        <w:t xml:space="preserve"> also spoke with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and informed her that Isaacs was not due reimbursement for meals and lodging for his mother or husband. On July 26, at 2:00 p.m.,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sent Isaacs an e-mail asking him t</w:t>
      </w:r>
      <w:r>
        <w:rPr>
          <w:rFonts w:ascii="Times New Roman" w:hAnsi="Times New Roman" w:cs="Times New Roman"/>
          <w:color w:val="000000"/>
          <w:sz w:val="20"/>
          <w:szCs w:val="20"/>
        </w:rPr>
        <w:t>o call her to discuss his expense reports.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 exactly the same time on July 26 as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e-mailed Isaacs, Isaacs attended a staff meeting at Arbor Springs, the events of which apparently form the sole basis for his allegations of discrimination. Isaacs</w:t>
      </w:r>
      <w:r>
        <w:rPr>
          <w:rFonts w:ascii="Times New Roman" w:hAnsi="Times New Roman" w:cs="Times New Roman"/>
          <w:color w:val="000000"/>
          <w:sz w:val="20"/>
          <w:szCs w:val="20"/>
        </w:rPr>
        <w:t xml:space="preserve"> was the only Felder Services employee present, and the meeting was run by the associate director of nursing, Cheri Place. According to Isaacs (and as disputed by both Place and the other attendees), after he and Place began to disagree about whether staff</w:t>
      </w:r>
      <w:r>
        <w:rPr>
          <w:rFonts w:ascii="Times New Roman" w:hAnsi="Times New Roman" w:cs="Times New Roman"/>
          <w:color w:val="000000"/>
          <w:sz w:val="20"/>
          <w:szCs w:val="20"/>
        </w:rPr>
        <w:t xml:space="preserve"> members were correctly completing a form, Place asked someone to put tape over Isaacs’s mouth, approached Isaacs and made an allegedly masturbatory hand gesture, and acknowledged that Isaacs’s reading of the form was correct by saying, </w:t>
      </w:r>
      <w:r>
        <w:rPr>
          <w:rFonts w:ascii="Times New Roman" w:hAnsi="Times New Roman" w:cs="Times New Roman"/>
          <w:color w:val="000000"/>
          <w:sz w:val="20"/>
          <w:szCs w:val="20"/>
        </w:rPr>
        <w:t>“</w:t>
      </w:r>
      <w:r>
        <w:rPr>
          <w:rFonts w:ascii="Times New Roman" w:hAnsi="Times New Roman" w:cs="Times New Roman"/>
          <w:color w:val="000000"/>
          <w:sz w:val="20"/>
          <w:szCs w:val="20"/>
        </w:rPr>
        <w:t>Cupcake was right.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After the meeting concluded, Isaacs submitted a letter describing what had occurred to the associate director of Arbor Springs.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 some point between July 26 and 31,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first brought the issue of Isaacs’</w:t>
      </w:r>
      <w:r>
        <w:rPr>
          <w:rFonts w:ascii="Times New Roman" w:hAnsi="Times New Roman" w:cs="Times New Roman"/>
          <w:color w:val="000000"/>
          <w:sz w:val="20"/>
          <w:szCs w:val="20"/>
        </w:rPr>
        <w:t xml:space="preserve">s questionable expenses to the attention of David Perez, the director of human resources at Felder Services. Isaacs called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back on July 30, and they discussed the disputed expenses.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On July 31, Isaacs forwarded his complaint letter to </w:t>
      </w:r>
      <w:proofErr w:type="spellStart"/>
      <w:r>
        <w:rPr>
          <w:rFonts w:ascii="Times New Roman" w:hAnsi="Times New Roman" w:cs="Times New Roman"/>
          <w:color w:val="000000"/>
          <w:sz w:val="20"/>
          <w:szCs w:val="20"/>
        </w:rPr>
        <w:t>McGarvey</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the same day, she forwarded the letter to Perez, and to K.C. </w:t>
      </w:r>
      <w:proofErr w:type="spellStart"/>
      <w:r>
        <w:rPr>
          <w:rFonts w:ascii="Times New Roman" w:hAnsi="Times New Roman" w:cs="Times New Roman"/>
          <w:color w:val="000000"/>
          <w:sz w:val="20"/>
          <w:szCs w:val="20"/>
        </w:rPr>
        <w:t>Komer</w:t>
      </w:r>
      <w:proofErr w:type="spellEnd"/>
      <w:r>
        <w:rPr>
          <w:rFonts w:ascii="Times New Roman" w:hAnsi="Times New Roman" w:cs="Times New Roman"/>
          <w:color w:val="000000"/>
          <w:sz w:val="20"/>
          <w:szCs w:val="20"/>
        </w:rPr>
        <w:t xml:space="preserve">, another supervisor. </w:t>
      </w:r>
      <w:proofErr w:type="spellStart"/>
      <w:r>
        <w:rPr>
          <w:rFonts w:ascii="Times New Roman" w:hAnsi="Times New Roman" w:cs="Times New Roman"/>
          <w:color w:val="000000"/>
          <w:sz w:val="20"/>
          <w:szCs w:val="20"/>
        </w:rPr>
        <w:t>Komer</w:t>
      </w:r>
      <w:proofErr w:type="spellEnd"/>
      <w:r>
        <w:rPr>
          <w:rFonts w:ascii="Times New Roman" w:hAnsi="Times New Roman" w:cs="Times New Roman"/>
          <w:color w:val="000000"/>
          <w:sz w:val="20"/>
          <w:szCs w:val="20"/>
        </w:rPr>
        <w:t xml:space="preserve"> contacted Isaacs that day: he thanked Isaacs for letting him know about the incident and told him that, if he felt uncomfortable at Arbor Springs, he was free to </w:t>
      </w:r>
      <w:r>
        <w:rPr>
          <w:rFonts w:ascii="Times New Roman" w:hAnsi="Times New Roman" w:cs="Times New Roman"/>
          <w:color w:val="000000"/>
          <w:sz w:val="20"/>
          <w:szCs w:val="20"/>
        </w:rPr>
        <w:t>leave with pay until the issue was resolved. Isaacs left Arbor Springs and never returned.</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When Perez received the letter, he contacted Mark Traylor, the owner-administrator of Arbor Springs, and asked him to interview the Arbor Springs employees who wer</w:t>
      </w:r>
      <w:r>
        <w:rPr>
          <w:rFonts w:ascii="Times New Roman" w:hAnsi="Times New Roman" w:cs="Times New Roman"/>
          <w:color w:val="000000"/>
          <w:sz w:val="20"/>
          <w:szCs w:val="20"/>
        </w:rPr>
        <w:t xml:space="preserve">e present at the meeting with Place. These interviews were concluded on August 1. Before Perez received the results of Traylor’s investigation, </w:t>
      </w:r>
      <w:proofErr w:type="spellStart"/>
      <w:r>
        <w:rPr>
          <w:rFonts w:ascii="Times New Roman" w:hAnsi="Times New Roman" w:cs="Times New Roman"/>
          <w:color w:val="000000"/>
          <w:sz w:val="20"/>
          <w:szCs w:val="20"/>
        </w:rPr>
        <w:t>Bleicher</w:t>
      </w:r>
      <w:proofErr w:type="spellEnd"/>
      <w:r>
        <w:rPr>
          <w:rFonts w:ascii="Times New Roman" w:hAnsi="Times New Roman" w:cs="Times New Roman"/>
          <w:color w:val="000000"/>
          <w:sz w:val="20"/>
          <w:szCs w:val="20"/>
        </w:rPr>
        <w:t xml:space="preserve"> reported to him that Isaacs had submitted false charges and sought reimbursement for unauthorized expen</w:t>
      </w:r>
      <w:r>
        <w:rPr>
          <w:rFonts w:ascii="Times New Roman" w:hAnsi="Times New Roman" w:cs="Times New Roman"/>
          <w:color w:val="000000"/>
          <w:sz w:val="20"/>
          <w:szCs w:val="20"/>
        </w:rPr>
        <w:t xml:space="preserve">ses. Then, Traylor reported to Felder Services (directly to its president, Kevin Muscat) his finding that Isaacs’s allegations were </w:t>
      </w:r>
      <w:r>
        <w:rPr>
          <w:rFonts w:ascii="Times New Roman" w:hAnsi="Times New Roman" w:cs="Times New Roman"/>
          <w:color w:val="000000"/>
          <w:sz w:val="20"/>
          <w:szCs w:val="20"/>
        </w:rPr>
        <w:lastRenderedPageBreak/>
        <w:t>baseless.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On August 7, Perez and Muscat decided to terminate Isaacs’s employment based on the improper reimbursement reque</w:t>
      </w:r>
      <w:r>
        <w:rPr>
          <w:rFonts w:ascii="Times New Roman" w:hAnsi="Times New Roman" w:cs="Times New Roman"/>
          <w:color w:val="000000"/>
          <w:sz w:val="20"/>
          <w:szCs w:val="20"/>
        </w:rPr>
        <w:t>sts.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 w:name="co_anchor_Ic4e21bb4823811e598dc8b09b4f04"/>
      <w:bookmarkEnd w:id="8"/>
    </w:p>
    <w:p w:rsidR="00000000" w:rsidRDefault="001D47BB">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Discrimination</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Isaacs claims that Felder Services terminated him because he is male. The recommendation concludes that the court </w:t>
      </w:r>
      <w:r>
        <w:rPr>
          <w:rFonts w:ascii="Times New Roman" w:hAnsi="Times New Roman" w:cs="Times New Roman"/>
          <w:color w:val="000000"/>
          <w:sz w:val="20"/>
          <w:szCs w:val="20"/>
        </w:rPr>
        <w:t>“</w:t>
      </w:r>
      <w:r>
        <w:rPr>
          <w:rFonts w:ascii="Times New Roman" w:hAnsi="Times New Roman" w:cs="Times New Roman"/>
          <w:color w:val="000000"/>
          <w:sz w:val="20"/>
          <w:szCs w:val="20"/>
        </w:rPr>
        <w:t>need not engage in a discussion reg</w:t>
      </w:r>
      <w:r>
        <w:rPr>
          <w:rFonts w:ascii="Times New Roman" w:hAnsi="Times New Roman" w:cs="Times New Roman"/>
          <w:color w:val="000000"/>
          <w:sz w:val="20"/>
          <w:szCs w:val="20"/>
        </w:rPr>
        <w:t>arding whether or not Plaintiff has provided evidence of comparators for the purposes of the prima-facie-case analysis because Plaintiff has offered no evidence of gender-discrimination by Defendant Felder,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given that his claim revolves around the harassm</w:t>
      </w:r>
      <w:r>
        <w:rPr>
          <w:rFonts w:ascii="Times New Roman" w:hAnsi="Times New Roman" w:cs="Times New Roman"/>
          <w:color w:val="000000"/>
          <w:sz w:val="20"/>
          <w:szCs w:val="20"/>
        </w:rPr>
        <w:t xml:space="preserve">ent he allegedly suffered at the hands of Place, and Place was not an employee, or otherwise under the control or authority, of Felder Services. </w:t>
      </w:r>
      <w:proofErr w:type="gramStart"/>
      <w:r>
        <w:rPr>
          <w:rFonts w:ascii="Times New Roman" w:hAnsi="Times New Roman" w:cs="Times New Roman"/>
          <w:color w:val="000000"/>
          <w:sz w:val="20"/>
          <w:szCs w:val="20"/>
        </w:rPr>
        <w:t>R &amp; R at 20.</w:t>
      </w:r>
      <w:proofErr w:type="gramEnd"/>
      <w:r>
        <w:rPr>
          <w:rFonts w:ascii="Times New Roman" w:hAnsi="Times New Roman" w:cs="Times New Roman"/>
          <w:color w:val="000000"/>
          <w:sz w:val="20"/>
          <w:szCs w:val="20"/>
        </w:rPr>
        <w:t xml:space="preserve"> The court takes issue with this reasoning. Had Isaacs identified a relevant female comparator, the</w:t>
      </w:r>
      <w:r>
        <w:rPr>
          <w:rFonts w:ascii="Times New Roman" w:hAnsi="Times New Roman" w:cs="Times New Roman"/>
          <w:color w:val="000000"/>
          <w:sz w:val="20"/>
          <w:szCs w:val="20"/>
        </w:rPr>
        <w:t xml:space="preserve"> fact that she was not terminated would have constituted just the sort of circumstantial evidence of discrimination </w:t>
      </w:r>
      <w:r>
        <w:rPr>
          <w:rFonts w:ascii="Times New Roman" w:hAnsi="Times New Roman" w:cs="Times New Roman"/>
          <w:i/>
          <w:iCs/>
          <w:color w:val="000000"/>
          <w:sz w:val="20"/>
          <w:szCs w:val="20"/>
        </w:rPr>
        <w:t>by his employer</w:t>
      </w:r>
      <w:r>
        <w:rPr>
          <w:rFonts w:ascii="Times New Roman" w:hAnsi="Times New Roman" w:cs="Times New Roman"/>
          <w:color w:val="000000"/>
          <w:sz w:val="20"/>
          <w:szCs w:val="20"/>
        </w:rPr>
        <w:t xml:space="preserve"> that his claim now lacks. Hence, the court cannot reject this claim without considering whether Isaacs has offered comparato</w:t>
      </w:r>
      <w:r>
        <w:rPr>
          <w:rFonts w:ascii="Times New Roman" w:hAnsi="Times New Roman" w:cs="Times New Roman"/>
          <w:color w:val="000000"/>
          <w:sz w:val="20"/>
          <w:szCs w:val="20"/>
        </w:rPr>
        <w:t>r evidence.</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 w:name="co_pp_sp_999_3_1"/>
      <w:bookmarkEnd w:id="9"/>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However, the court agrees with the recommendation of summary judgment on this claim because Isaacs has indeed failed to identify a relevant female comparator. The individual he identifies, Place herself, was</w:t>
      </w:r>
      <w:r>
        <w:rPr>
          <w:rFonts w:ascii="Times New Roman" w:hAnsi="Times New Roman" w:cs="Times New Roman"/>
          <w:color w:val="000000"/>
          <w:sz w:val="20"/>
          <w:szCs w:val="20"/>
        </w:rPr>
        <w:t xml:space="preserve"> not an employee of</w:t>
      </w:r>
      <w:r>
        <w:rPr>
          <w:rFonts w:ascii="Times New Roman" w:hAnsi="Times New Roman" w:cs="Times New Roman"/>
          <w:color w:val="000000"/>
          <w:sz w:val="20"/>
          <w:szCs w:val="20"/>
        </w:rPr>
        <w:t>—</w:t>
      </w:r>
      <w:r>
        <w:rPr>
          <w:rFonts w:ascii="Times New Roman" w:hAnsi="Times New Roman" w:cs="Times New Roman"/>
          <w:color w:val="000000"/>
          <w:sz w:val="20"/>
          <w:szCs w:val="20"/>
        </w:rPr>
        <w:t>and therefore not subject to discipline by</w:t>
      </w:r>
      <w:r>
        <w:rPr>
          <w:rFonts w:ascii="Times New Roman" w:hAnsi="Times New Roman" w:cs="Times New Roman"/>
          <w:color w:val="000000"/>
          <w:sz w:val="20"/>
          <w:szCs w:val="20"/>
        </w:rPr>
        <w:t>—</w:t>
      </w:r>
      <w:r>
        <w:rPr>
          <w:rFonts w:ascii="Times New Roman" w:hAnsi="Times New Roman" w:cs="Times New Roman"/>
          <w:color w:val="000000"/>
          <w:sz w:val="20"/>
          <w:szCs w:val="20"/>
        </w:rPr>
        <w:t>Felder Services. Moreover, her alleged misconduct (sexual harassment) was entirely different from the misconduct that Felder Services asserts formed the basis of its decision to fire Isaacs (se</w:t>
      </w:r>
      <w:r>
        <w:rPr>
          <w:rFonts w:ascii="Times New Roman" w:hAnsi="Times New Roman" w:cs="Times New Roman"/>
          <w:color w:val="000000"/>
          <w:sz w:val="20"/>
          <w:szCs w:val="20"/>
        </w:rPr>
        <w:t xml:space="preserve">eking reimbursement for unauthorized expenses).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4" w:history="1">
        <w:proofErr w:type="spellStart"/>
        <w:r>
          <w:rPr>
            <w:rFonts w:ascii="Times New Roman" w:hAnsi="Times New Roman" w:cs="Times New Roman"/>
            <w:i/>
            <w:iCs/>
            <w:color w:val="0000FF"/>
            <w:sz w:val="20"/>
            <w:szCs w:val="20"/>
          </w:rPr>
          <w:t>Holifeld</w:t>
        </w:r>
        <w:proofErr w:type="spellEnd"/>
        <w:r>
          <w:rPr>
            <w:rFonts w:ascii="Times New Roman" w:hAnsi="Times New Roman" w:cs="Times New Roman"/>
            <w:i/>
            <w:iCs/>
            <w:color w:val="0000FF"/>
            <w:sz w:val="20"/>
            <w:szCs w:val="20"/>
          </w:rPr>
          <w:t xml:space="preserve"> v. Reno,</w:t>
        </w:r>
        <w:r>
          <w:rPr>
            <w:rFonts w:ascii="Times New Roman" w:hAnsi="Times New Roman" w:cs="Times New Roman"/>
            <w:color w:val="0000FF"/>
            <w:sz w:val="20"/>
            <w:szCs w:val="20"/>
          </w:rPr>
          <w:t xml:space="preserve"> 115 F.3d 1555, 1562 (11th Cir. 1997)</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In determining whether employees are similarly situated for purposes of establishing a prima facie c</w:t>
      </w:r>
      <w:r>
        <w:rPr>
          <w:rFonts w:ascii="Times New Roman" w:hAnsi="Times New Roman" w:cs="Times New Roman"/>
          <w:color w:val="000000"/>
          <w:sz w:val="20"/>
          <w:szCs w:val="20"/>
        </w:rPr>
        <w:t>ase, it is necessary to consider whether the employees are involved in or accused of the same or similar conduct and are disciplined in different ways.</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With respect to Isaacs’s claim that Felder Services discriminated against him on the basis of his g</w:t>
      </w:r>
      <w:r>
        <w:rPr>
          <w:rFonts w:ascii="Times New Roman" w:hAnsi="Times New Roman" w:cs="Times New Roman"/>
          <w:color w:val="000000"/>
          <w:sz w:val="20"/>
          <w:szCs w:val="20"/>
        </w:rPr>
        <w:t xml:space="preserve">ender non-conformity, the record does not support the recommendation’s finding that Isaacs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does not </w:t>
      </w:r>
      <w:r>
        <w:rPr>
          <w:rFonts w:ascii="Times New Roman" w:hAnsi="Times New Roman" w:cs="Times New Roman"/>
          <w:i/>
          <w:iCs/>
          <w:color w:val="000000"/>
          <w:sz w:val="20"/>
          <w:szCs w:val="20"/>
        </w:rPr>
        <w:t>allege</w:t>
      </w:r>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that anyone over whom Felder Services had authority or control discriminated against him based on the tone of his voice. </w:t>
      </w:r>
      <w:r>
        <w:rPr>
          <w:rFonts w:ascii="Times New Roman" w:hAnsi="Times New Roman" w:cs="Times New Roman"/>
          <w:i/>
          <w:iCs/>
          <w:color w:val="000000"/>
          <w:sz w:val="20"/>
          <w:szCs w:val="20"/>
        </w:rPr>
        <w:t>Compare</w:t>
      </w:r>
      <w:r>
        <w:rPr>
          <w:rFonts w:ascii="Times New Roman" w:hAnsi="Times New Roman" w:cs="Times New Roman"/>
          <w:color w:val="000000"/>
          <w:sz w:val="20"/>
          <w:szCs w:val="20"/>
        </w:rPr>
        <w:t xml:space="preserve"> R &amp; R at 23</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24 </w:t>
      </w:r>
      <w:r>
        <w:rPr>
          <w:rFonts w:ascii="Times New Roman" w:hAnsi="Times New Roman" w:cs="Times New Roman"/>
          <w:i/>
          <w:iCs/>
          <w:color w:val="000000"/>
          <w:sz w:val="20"/>
          <w:szCs w:val="20"/>
        </w:rPr>
        <w:t>wit</w:t>
      </w:r>
      <w:r>
        <w:rPr>
          <w:rFonts w:ascii="Times New Roman" w:hAnsi="Times New Roman" w:cs="Times New Roman"/>
          <w:i/>
          <w:iCs/>
          <w:color w:val="000000"/>
          <w:sz w:val="20"/>
          <w:szCs w:val="20"/>
        </w:rPr>
        <w:t>h</w:t>
      </w:r>
      <w:r>
        <w:rPr>
          <w:rFonts w:ascii="Times New Roman" w:hAnsi="Times New Roman" w:cs="Times New Roman"/>
          <w:color w:val="000000"/>
          <w:sz w:val="20"/>
          <w:szCs w:val="20"/>
        </w:rPr>
        <w:t xml:space="preserve"> Complaint (doc. no. 1) at 5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Defendant’s [sic] further intentionally discriminated against Isaacs on the basis that he is </w:t>
      </w:r>
      <w:r>
        <w:rPr>
          <w:rFonts w:ascii="Times New Roman" w:hAnsi="Times New Roman" w:cs="Times New Roman"/>
          <w:color w:val="000000"/>
          <w:sz w:val="20"/>
          <w:szCs w:val="20"/>
        </w:rPr>
        <w:lastRenderedPageBreak/>
        <w:t>effeminate in action [and] tone of voice.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However, the court adopts the recommendation’s reasoning to </w:t>
      </w:r>
      <w:r>
        <w:rPr>
          <w:rFonts w:ascii="Times New Roman" w:hAnsi="Times New Roman" w:cs="Times New Roman"/>
          <w:color w:val="000000"/>
          <w:sz w:val="20"/>
          <w:szCs w:val="20"/>
        </w:rPr>
        <w:t xml:space="preserve">the extent it concludes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Plaintiff has identified no direct or circumstantial evidence suggesting that one of Defendant Felder’s employees ever acted with discriminatory intent towards him, such that a reasonable </w:t>
      </w:r>
      <w:proofErr w:type="spellStart"/>
      <w:r>
        <w:rPr>
          <w:rFonts w:ascii="Times New Roman" w:hAnsi="Times New Roman" w:cs="Times New Roman"/>
          <w:color w:val="000000"/>
          <w:sz w:val="20"/>
          <w:szCs w:val="20"/>
        </w:rPr>
        <w:t>factfinder</w:t>
      </w:r>
      <w:proofErr w:type="spellEnd"/>
      <w:r>
        <w:rPr>
          <w:rFonts w:ascii="Times New Roman" w:hAnsi="Times New Roman" w:cs="Times New Roman"/>
          <w:color w:val="000000"/>
          <w:sz w:val="20"/>
          <w:szCs w:val="20"/>
        </w:rPr>
        <w:t xml:space="preserve"> could conclude that his ter</w:t>
      </w:r>
      <w:r>
        <w:rPr>
          <w:rFonts w:ascii="Times New Roman" w:hAnsi="Times New Roman" w:cs="Times New Roman"/>
          <w:color w:val="000000"/>
          <w:sz w:val="20"/>
          <w:szCs w:val="20"/>
        </w:rPr>
        <w:t>mination was based on his non-conformity to gender stereotypes.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 &amp; R at 24 (emphasis added).</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Finally, Isaacs claims that he was discriminated against based on his sexual orientation. The court rejects the magistrate judge’s conclusion that </w:t>
      </w:r>
      <w:r>
        <w:rPr>
          <w:rFonts w:ascii="Times New Roman" w:hAnsi="Times New Roman" w:cs="Times New Roman"/>
          <w:color w:val="000000"/>
          <w:sz w:val="20"/>
          <w:szCs w:val="20"/>
        </w:rPr>
        <w:t>“</w:t>
      </w:r>
      <w:r>
        <w:rPr>
          <w:rFonts w:ascii="Times New Roman" w:hAnsi="Times New Roman" w:cs="Times New Roman"/>
          <w:color w:val="000000"/>
          <w:sz w:val="20"/>
          <w:szCs w:val="20"/>
        </w:rPr>
        <w:t>[s]</w:t>
      </w:r>
      <w:proofErr w:type="spellStart"/>
      <w:r>
        <w:rPr>
          <w:rFonts w:ascii="Times New Roman" w:hAnsi="Times New Roman" w:cs="Times New Roman"/>
          <w:color w:val="000000"/>
          <w:sz w:val="20"/>
          <w:szCs w:val="20"/>
        </w:rPr>
        <w:t>exual</w:t>
      </w:r>
      <w:proofErr w:type="spellEnd"/>
      <w:r>
        <w:rPr>
          <w:rFonts w:ascii="Times New Roman" w:hAnsi="Times New Roman" w:cs="Times New Roman"/>
          <w:color w:val="000000"/>
          <w:sz w:val="20"/>
          <w:szCs w:val="20"/>
        </w:rPr>
        <w:t xml:space="preserve"> or</w:t>
      </w:r>
      <w:r>
        <w:rPr>
          <w:rFonts w:ascii="Times New Roman" w:hAnsi="Times New Roman" w:cs="Times New Roman"/>
          <w:color w:val="000000"/>
          <w:sz w:val="20"/>
          <w:szCs w:val="20"/>
        </w:rPr>
        <w:t>ientation discrimination is neither included in nor contemplated by Title VII.</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R &amp; R at 24.</w:t>
      </w:r>
      <w:proofErr w:type="gramEnd"/>
      <w:r>
        <w:rPr>
          <w:rFonts w:ascii="Times New Roman" w:hAnsi="Times New Roman" w:cs="Times New Roman"/>
          <w:color w:val="000000"/>
          <w:sz w:val="20"/>
          <w:szCs w:val="20"/>
        </w:rPr>
        <w:t xml:space="preserve"> In the Eleventh Circuit, the question is an open one.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5" w:history="1">
        <w:r>
          <w:rPr>
            <w:rFonts w:ascii="Times New Roman" w:hAnsi="Times New Roman" w:cs="Times New Roman"/>
            <w:i/>
            <w:iCs/>
            <w:color w:val="0000FF"/>
            <w:sz w:val="20"/>
            <w:szCs w:val="20"/>
          </w:rPr>
          <w:t xml:space="preserve">Evans v. Ga. </w:t>
        </w:r>
        <w:proofErr w:type="spellStart"/>
        <w:r>
          <w:rPr>
            <w:rFonts w:ascii="Times New Roman" w:hAnsi="Times New Roman" w:cs="Times New Roman"/>
            <w:i/>
            <w:iCs/>
            <w:color w:val="0000FF"/>
            <w:sz w:val="20"/>
            <w:szCs w:val="20"/>
          </w:rPr>
          <w:t>Reg’l</w:t>
        </w:r>
        <w:proofErr w:type="spellEnd"/>
        <w:r>
          <w:rPr>
            <w:rFonts w:ascii="Times New Roman" w:hAnsi="Times New Roman" w:cs="Times New Roman"/>
            <w:i/>
            <w:iCs/>
            <w:color w:val="0000FF"/>
            <w:sz w:val="20"/>
            <w:szCs w:val="20"/>
          </w:rPr>
          <w:t xml:space="preserve"> Hosp.,</w:t>
        </w:r>
        <w:r>
          <w:rPr>
            <w:rFonts w:ascii="Times New Roman" w:hAnsi="Times New Roman" w:cs="Times New Roman"/>
            <w:color w:val="0000FF"/>
            <w:sz w:val="20"/>
            <w:szCs w:val="20"/>
          </w:rPr>
          <w:t xml:space="preserve"> No. </w:t>
        </w:r>
        <w:proofErr w:type="gramStart"/>
        <w:r>
          <w:rPr>
            <w:rFonts w:ascii="Times New Roman" w:hAnsi="Times New Roman" w:cs="Times New Roman"/>
            <w:color w:val="0000FF"/>
            <w:sz w:val="20"/>
            <w:szCs w:val="20"/>
          </w:rPr>
          <w:t>CV415–103, 2015 WL 5316694, at *2 (</w:t>
        </w:r>
        <w:proofErr w:type="spellStart"/>
        <w:r>
          <w:rPr>
            <w:rFonts w:ascii="Times New Roman" w:hAnsi="Times New Roman" w:cs="Times New Roman"/>
            <w:color w:val="0000FF"/>
            <w:sz w:val="20"/>
            <w:szCs w:val="20"/>
          </w:rPr>
          <w:t>S.D.Ga</w:t>
        </w:r>
        <w:proofErr w:type="spellEnd"/>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 xml:space="preserve"> Sept. 10, 2015)</w:t>
        </w:r>
      </w:hyperlink>
      <w:r>
        <w:rPr>
          <w:rFonts w:ascii="Times New Roman" w:hAnsi="Times New Roman" w:cs="Times New Roman"/>
          <w:color w:val="000000"/>
          <w:sz w:val="20"/>
          <w:szCs w:val="20"/>
        </w:rPr>
        <w:t xml:space="preserve"> (Smith, </w:t>
      </w:r>
      <w:r>
        <w:rPr>
          <w:rFonts w:ascii="Times New Roman" w:hAnsi="Times New Roman" w:cs="Times New Roman"/>
          <w:color w:val="000000"/>
          <w:sz w:val="20"/>
          <w:szCs w:val="20"/>
        </w:rPr>
        <w:t>J.) (</w:t>
      </w:r>
      <w:r>
        <w:rPr>
          <w:rFonts w:ascii="Times New Roman" w:hAnsi="Times New Roman" w:cs="Times New Roman"/>
          <w:color w:val="000000"/>
          <w:sz w:val="20"/>
          <w:szCs w:val="20"/>
        </w:rPr>
        <w:t>“</w:t>
      </w:r>
      <w:r>
        <w:rPr>
          <w:rFonts w:ascii="Times New Roman" w:hAnsi="Times New Roman" w:cs="Times New Roman"/>
          <w:color w:val="000000"/>
          <w:sz w:val="20"/>
          <w:szCs w:val="20"/>
        </w:rPr>
        <w:t>[T]he Eleventh Circuit has not addressed this issue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see also </w:t>
      </w:r>
      <w:hyperlink r:id="rId16" w:history="1">
        <w:r>
          <w:rPr>
            <w:rFonts w:ascii="Times New Roman" w:hAnsi="Times New Roman" w:cs="Times New Roman"/>
            <w:i/>
            <w:iCs/>
            <w:color w:val="0000FF"/>
            <w:sz w:val="20"/>
            <w:szCs w:val="20"/>
          </w:rPr>
          <w:t>Muhammad v. Caterpillar Inc.,</w:t>
        </w:r>
        <w:r>
          <w:rPr>
            <w:rFonts w:ascii="Times New Roman" w:hAnsi="Times New Roman" w:cs="Times New Roman"/>
            <w:color w:val="0000FF"/>
            <w:sz w:val="20"/>
            <w:szCs w:val="20"/>
          </w:rPr>
          <w:t xml:space="preserve"> 767 F.3d 694 (7th Cir. 2014)</w:t>
        </w:r>
      </w:hyperlink>
      <w:r>
        <w:rPr>
          <w:rFonts w:ascii="Times New Roman" w:hAnsi="Times New Roman" w:cs="Times New Roman"/>
          <w:color w:val="000000"/>
          <w:sz w:val="20"/>
          <w:szCs w:val="20"/>
        </w:rPr>
        <w:t xml:space="preserve"> (amending a previously issued opinion to omit language stating that discrimination on the basis of sexual orientat</w:t>
      </w:r>
      <w:r>
        <w:rPr>
          <w:rFonts w:ascii="Times New Roman" w:hAnsi="Times New Roman" w:cs="Times New Roman"/>
          <w:color w:val="000000"/>
          <w:sz w:val="20"/>
          <w:szCs w:val="20"/>
        </w:rPr>
        <w:t>ion is not actionable under Title VII).</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This court agrees instead with the view of the Equal Employment Opportunity Commission that claims of sexual orientation-based discrimination are cognizable under Title VII. In </w:t>
      </w:r>
      <w:hyperlink r:id="rId17" w:history="1">
        <w:r>
          <w:rPr>
            <w:rFonts w:ascii="Times New Roman" w:hAnsi="Times New Roman" w:cs="Times New Roman"/>
            <w:color w:val="0000FF"/>
            <w:sz w:val="20"/>
            <w:szCs w:val="20"/>
          </w:rPr>
          <w:t>EEOC Appeal No. 0120133080, 2015</w:t>
        </w:r>
        <w:r>
          <w:rPr>
            <w:rFonts w:ascii="Times New Roman" w:hAnsi="Times New Roman" w:cs="Times New Roman"/>
            <w:color w:val="0000FF"/>
            <w:sz w:val="20"/>
            <w:szCs w:val="20"/>
          </w:rPr>
          <w:t xml:space="preserve"> WL 4397641, at *4–*10 (July 16, 2015)</w:t>
        </w:r>
      </w:hyperlink>
      <w:r>
        <w:rPr>
          <w:rFonts w:ascii="Times New Roman" w:hAnsi="Times New Roman" w:cs="Times New Roman"/>
          <w:color w:val="000000"/>
          <w:sz w:val="20"/>
          <w:szCs w:val="20"/>
        </w:rPr>
        <w:t xml:space="preserve">, the Commission explains persuasively why </w:t>
      </w:r>
      <w:r>
        <w:rPr>
          <w:rFonts w:ascii="Times New Roman" w:hAnsi="Times New Roman" w:cs="Times New Roman"/>
          <w:color w:val="000000"/>
          <w:sz w:val="20"/>
          <w:szCs w:val="20"/>
        </w:rPr>
        <w:t>“</w:t>
      </w:r>
      <w:r>
        <w:rPr>
          <w:rFonts w:ascii="Times New Roman" w:hAnsi="Times New Roman" w:cs="Times New Roman"/>
          <w:color w:val="000000"/>
          <w:sz w:val="20"/>
          <w:szCs w:val="20"/>
        </w:rPr>
        <w:t>an allegation of discrimination based on sexual orientation is necessarily an allegation of sex discrimination under Title VII.</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proofErr w:type="gramStart"/>
      <w:r>
        <w:rPr>
          <w:rFonts w:ascii="Times New Roman" w:hAnsi="Times New Roman" w:cs="Times New Roman"/>
          <w:i/>
          <w:iCs/>
          <w:color w:val="000000"/>
          <w:sz w:val="20"/>
          <w:szCs w:val="20"/>
        </w:rPr>
        <w:t>Id</w:t>
      </w:r>
      <w:r>
        <w:rPr>
          <w:rFonts w:ascii="Times New Roman" w:hAnsi="Times New Roman" w:cs="Times New Roman"/>
          <w:color w:val="000000"/>
          <w:sz w:val="20"/>
          <w:szCs w:val="20"/>
        </w:rPr>
        <w:t>. at *5.</w:t>
      </w:r>
      <w:proofErr w:type="gramEnd"/>
      <w:r>
        <w:rPr>
          <w:rFonts w:ascii="Times New Roman" w:hAnsi="Times New Roman" w:cs="Times New Roman"/>
          <w:color w:val="000000"/>
          <w:sz w:val="20"/>
          <w:szCs w:val="20"/>
        </w:rPr>
        <w:t xml:space="preserve"> Particularly compelling is its </w:t>
      </w:r>
      <w:r>
        <w:rPr>
          <w:rFonts w:ascii="Times New Roman" w:hAnsi="Times New Roman" w:cs="Times New Roman"/>
          <w:color w:val="000000"/>
          <w:sz w:val="20"/>
          <w:szCs w:val="20"/>
        </w:rPr>
        <w:t xml:space="preserve">reliance on Eleventh Circuit precedent,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at</w:t>
      </w:r>
      <w:proofErr w:type="gramEnd"/>
      <w:r>
        <w:rPr>
          <w:rFonts w:ascii="Times New Roman" w:hAnsi="Times New Roman" w:cs="Times New Roman"/>
          <w:color w:val="000000"/>
          <w:sz w:val="20"/>
          <w:szCs w:val="20"/>
        </w:rPr>
        <w:t xml:space="preserve"> *7:</w:t>
      </w:r>
    </w:p>
    <w:p w:rsidR="00000000" w:rsidRDefault="001D47BB">
      <w:pPr>
        <w:widowControl w:val="0"/>
        <w:autoSpaceDE w:val="0"/>
        <w:autoSpaceDN w:val="0"/>
        <w:adjustRightInd w:val="0"/>
        <w:spacing w:before="200" w:after="0" w:line="240" w:lineRule="auto"/>
        <w:ind w:left="20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Title VII ... prohibits employers from treating an employee or applicant differently than other employees or applicants based on the fact that such individuals are in a same-sex marriage or because the em</w:t>
      </w:r>
      <w:r>
        <w:rPr>
          <w:rFonts w:ascii="Times New Roman" w:hAnsi="Times New Roman" w:cs="Times New Roman"/>
          <w:color w:val="000000"/>
          <w:sz w:val="20"/>
          <w:szCs w:val="20"/>
        </w:rPr>
        <w:t xml:space="preserve">ployee has [or is interested in having] a personal association with someone of a particular sex. Adverse action on that basis is, </w:t>
      </w:r>
      <w:r>
        <w:rPr>
          <w:rFonts w:ascii="Times New Roman" w:hAnsi="Times New Roman" w:cs="Times New Roman"/>
          <w:color w:val="000000"/>
          <w:sz w:val="20"/>
          <w:szCs w:val="20"/>
        </w:rPr>
        <w:t>‘</w:t>
      </w:r>
      <w:r>
        <w:rPr>
          <w:rFonts w:ascii="Times New Roman" w:hAnsi="Times New Roman" w:cs="Times New Roman"/>
          <w:color w:val="000000"/>
          <w:sz w:val="20"/>
          <w:szCs w:val="20"/>
        </w:rPr>
        <w:t>by definition,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discrimination because of the employee or applicant’s sex. </w:t>
      </w: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w:t>
      </w:r>
      <w:hyperlink r:id="rId18" w:history="1">
        <w:r>
          <w:rPr>
            <w:rFonts w:ascii="Times New Roman" w:hAnsi="Times New Roman" w:cs="Times New Roman"/>
            <w:i/>
            <w:iCs/>
            <w:color w:val="0000FF"/>
            <w:sz w:val="20"/>
            <w:szCs w:val="20"/>
          </w:rPr>
          <w:t>Parr</w:t>
        </w:r>
        <w:r>
          <w:rPr>
            <w:rFonts w:ascii="Times New Roman" w:hAnsi="Times New Roman" w:cs="Times New Roman"/>
            <w:i/>
            <w:iCs/>
            <w:color w:val="0000FF"/>
            <w:sz w:val="20"/>
            <w:szCs w:val="20"/>
          </w:rPr>
          <w:t xml:space="preserve"> v. Woodmen of the World Life Ins. Co.</w:t>
        </w:r>
        <w:r>
          <w:rPr>
            <w:rFonts w:ascii="Times New Roman" w:hAnsi="Times New Roman" w:cs="Times New Roman"/>
            <w:color w:val="0000FF"/>
            <w:sz w:val="20"/>
            <w:szCs w:val="20"/>
          </w:rPr>
          <w:t>, 791 F.2d 888, 892 (11th Cir. 1986)</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Where a plaintiff claims discrimination based upon an interracial marriage or association, he alleges, by definition, that he has been discriminated against because of </w:t>
      </w:r>
      <w:r>
        <w:rPr>
          <w:rFonts w:ascii="Times New Roman" w:hAnsi="Times New Roman" w:cs="Times New Roman"/>
          <w:i/>
          <w:iCs/>
          <w:color w:val="000000"/>
          <w:sz w:val="20"/>
          <w:szCs w:val="20"/>
        </w:rPr>
        <w:t>his</w:t>
      </w:r>
      <w:r>
        <w:rPr>
          <w:rFonts w:ascii="Times New Roman" w:hAnsi="Times New Roman" w:cs="Times New Roman"/>
          <w:color w:val="000000"/>
          <w:sz w:val="20"/>
          <w:szCs w:val="20"/>
        </w:rPr>
        <w:t xml:space="preserve"> race</w:t>
      </w:r>
      <w:r>
        <w:rPr>
          <w:rFonts w:ascii="Times New Roman" w:hAnsi="Times New Roman" w:cs="Times New Roman"/>
          <w:color w:val="000000"/>
          <w:sz w:val="20"/>
          <w:szCs w:val="20"/>
        </w:rPr>
        <w:t xml:space="preserve"> [in violation of Title VII].</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1D47BB">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Andrew </w:t>
      </w:r>
      <w:proofErr w:type="spellStart"/>
      <w:r>
        <w:rPr>
          <w:rFonts w:ascii="Times New Roman" w:hAnsi="Times New Roman" w:cs="Times New Roman"/>
          <w:color w:val="000000"/>
          <w:sz w:val="20"/>
          <w:szCs w:val="20"/>
        </w:rPr>
        <w:t>Koppelman</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hyperlink r:id="rId19" w:history="1">
        <w:r>
          <w:rPr>
            <w:rFonts w:ascii="Times New Roman" w:hAnsi="Times New Roman" w:cs="Times New Roman"/>
            <w:color w:val="0000FF"/>
            <w:sz w:val="20"/>
            <w:szCs w:val="20"/>
          </w:rPr>
          <w:t xml:space="preserve">Why Discrimination </w:t>
        </w:r>
        <w:proofErr w:type="gramStart"/>
        <w:r>
          <w:rPr>
            <w:rFonts w:ascii="Times New Roman" w:hAnsi="Times New Roman" w:cs="Times New Roman"/>
            <w:color w:val="0000FF"/>
            <w:sz w:val="20"/>
            <w:szCs w:val="20"/>
          </w:rPr>
          <w:t>Against</w:t>
        </w:r>
        <w:proofErr w:type="gramEnd"/>
        <w:r>
          <w:rPr>
            <w:rFonts w:ascii="Times New Roman" w:hAnsi="Times New Roman" w:cs="Times New Roman"/>
            <w:color w:val="0000FF"/>
            <w:sz w:val="20"/>
            <w:szCs w:val="20"/>
          </w:rPr>
          <w:t xml:space="preserve"> Lesbians and Gay Men is Sex Discrimination,” 69 N.Y.U. </w:t>
        </w:r>
        <w:proofErr w:type="spellStart"/>
        <w:r>
          <w:rPr>
            <w:rFonts w:ascii="Times New Roman" w:hAnsi="Times New Roman" w:cs="Times New Roman"/>
            <w:color w:val="0000FF"/>
            <w:sz w:val="20"/>
            <w:szCs w:val="20"/>
          </w:rPr>
          <w:t>L.Rev</w:t>
        </w:r>
        <w:proofErr w:type="spellEnd"/>
        <w:r>
          <w:rPr>
            <w:rFonts w:ascii="Times New Roman" w:hAnsi="Times New Roman" w:cs="Times New Roman"/>
            <w:color w:val="0000FF"/>
            <w:sz w:val="20"/>
            <w:szCs w:val="20"/>
          </w:rPr>
          <w:t>. 197, 208 (1994)</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If a business fires Ricky ... because of</w:t>
      </w:r>
      <w:r>
        <w:rPr>
          <w:rFonts w:ascii="Times New Roman" w:hAnsi="Times New Roman" w:cs="Times New Roman"/>
          <w:color w:val="000000"/>
          <w:sz w:val="20"/>
          <w:szCs w:val="20"/>
        </w:rPr>
        <w:t xml:space="preserve"> his sexual activities with Fred, while </w:t>
      </w:r>
      <w:proofErr w:type="spellStart"/>
      <w:proofErr w:type="gramStart"/>
      <w:r>
        <w:rPr>
          <w:rFonts w:ascii="Times New Roman" w:hAnsi="Times New Roman" w:cs="Times New Roman"/>
          <w:color w:val="000000"/>
          <w:sz w:val="20"/>
          <w:szCs w:val="20"/>
        </w:rPr>
        <w:t>th</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is] action [ ] would not have been taken against Lucy if she did exactly the same things with Fred, then Ricky is </w:t>
      </w:r>
      <w:bookmarkStart w:id="10" w:name="_GoBack"/>
      <w:r>
        <w:rPr>
          <w:rFonts w:ascii="Times New Roman" w:hAnsi="Times New Roman" w:cs="Times New Roman"/>
          <w:color w:val="000000"/>
          <w:sz w:val="20"/>
          <w:szCs w:val="20"/>
        </w:rPr>
        <w:lastRenderedPageBreak/>
        <w:t>being discriminated against because of his sex.</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 w:name="co_pp_sp_999_4_1"/>
      <w:bookmarkEnd w:id="11"/>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To the extent that sexual orientation discrimination occurs not because of the targeted individual’s romantic or sexual attraction to or involvement with people of the same sex, but rather based on her or his perceived deviations from </w:t>
      </w:r>
      <w:r>
        <w:rPr>
          <w:rFonts w:ascii="Times New Roman" w:hAnsi="Times New Roman" w:cs="Times New Roman"/>
          <w:color w:val="000000"/>
          <w:sz w:val="20"/>
          <w:szCs w:val="20"/>
        </w:rPr>
        <w:t>“</w:t>
      </w:r>
      <w:r>
        <w:rPr>
          <w:rFonts w:ascii="Times New Roman" w:hAnsi="Times New Roman" w:cs="Times New Roman"/>
          <w:color w:val="000000"/>
          <w:sz w:val="20"/>
          <w:szCs w:val="20"/>
        </w:rPr>
        <w:t>heterosexually defi</w:t>
      </w:r>
      <w:r>
        <w:rPr>
          <w:rFonts w:ascii="Times New Roman" w:hAnsi="Times New Roman" w:cs="Times New Roman"/>
          <w:color w:val="000000"/>
          <w:sz w:val="20"/>
          <w:szCs w:val="20"/>
        </w:rPr>
        <w:t>ned gender norms,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this, too, is sex discrimination, of the gender-stereotyping variety. </w:t>
      </w:r>
      <w:hyperlink r:id="rId20" w:history="1">
        <w:r>
          <w:rPr>
            <w:rFonts w:ascii="Times New Roman" w:hAnsi="Times New Roman" w:cs="Times New Roman"/>
            <w:color w:val="0000FF"/>
            <w:sz w:val="20"/>
            <w:szCs w:val="20"/>
          </w:rPr>
          <w:t>EEOC Appeal No. 0120133080, 2015 WL 4397641, at *7–*8</w:t>
        </w:r>
      </w:hyperlink>
      <w:r>
        <w:rPr>
          <w:rFonts w:ascii="Times New Roman" w:hAnsi="Times New Roman" w:cs="Times New Roman"/>
          <w:color w:val="000000"/>
          <w:sz w:val="20"/>
          <w:szCs w:val="20"/>
        </w:rPr>
        <w:t xml:space="preserve"> (citation omitted);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21" w:history="1">
        <w:proofErr w:type="spellStart"/>
        <w:r>
          <w:rPr>
            <w:rFonts w:ascii="Times New Roman" w:hAnsi="Times New Roman" w:cs="Times New Roman"/>
            <w:i/>
            <w:iCs/>
            <w:color w:val="0000FF"/>
            <w:sz w:val="20"/>
            <w:szCs w:val="20"/>
          </w:rPr>
          <w:t>Latta</w:t>
        </w:r>
        <w:proofErr w:type="spellEnd"/>
        <w:r>
          <w:rPr>
            <w:rFonts w:ascii="Times New Roman" w:hAnsi="Times New Roman" w:cs="Times New Roman"/>
            <w:i/>
            <w:iCs/>
            <w:color w:val="0000FF"/>
            <w:sz w:val="20"/>
            <w:szCs w:val="20"/>
          </w:rPr>
          <w:t xml:space="preserve"> v. Otter,</w:t>
        </w:r>
        <w:r>
          <w:rPr>
            <w:rFonts w:ascii="Times New Roman" w:hAnsi="Times New Roman" w:cs="Times New Roman"/>
            <w:color w:val="0000FF"/>
            <w:sz w:val="20"/>
            <w:szCs w:val="20"/>
          </w:rPr>
          <w:t xml:space="preserve"> 771 F.3d 456, 486 </w:t>
        </w:r>
        <w:r>
          <w:rPr>
            <w:rFonts w:ascii="Times New Roman" w:hAnsi="Times New Roman" w:cs="Times New Roman"/>
            <w:color w:val="0000FF"/>
            <w:sz w:val="20"/>
            <w:szCs w:val="20"/>
          </w:rPr>
          <w:t>(9th Cir. 2014)</w:t>
        </w:r>
      </w:hyperlink>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Berzon</w:t>
      </w:r>
      <w:proofErr w:type="spellEnd"/>
      <w:r>
        <w:rPr>
          <w:rFonts w:ascii="Times New Roman" w:hAnsi="Times New Roman" w:cs="Times New Roman"/>
          <w:color w:val="000000"/>
          <w:sz w:val="20"/>
          <w:szCs w:val="20"/>
        </w:rPr>
        <w:t>, J., concurring)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notion underlying the Supreme Court’s anti-stereotyping doctrine in both Fourteenth Amendment and Title VII cases is simple, but compelling: </w:t>
      </w:r>
      <w:r>
        <w:rPr>
          <w:rFonts w:ascii="Times New Roman" w:hAnsi="Times New Roman" w:cs="Times New Roman"/>
          <w:color w:val="000000"/>
          <w:sz w:val="20"/>
          <w:szCs w:val="20"/>
        </w:rPr>
        <w:t>‘</w:t>
      </w:r>
      <w:r>
        <w:rPr>
          <w:rFonts w:ascii="Times New Roman" w:hAnsi="Times New Roman" w:cs="Times New Roman"/>
          <w:color w:val="000000"/>
          <w:sz w:val="20"/>
          <w:szCs w:val="20"/>
        </w:rPr>
        <w:t>[n]</w:t>
      </w:r>
      <w:proofErr w:type="spellStart"/>
      <w:r>
        <w:rPr>
          <w:rFonts w:ascii="Times New Roman" w:hAnsi="Times New Roman" w:cs="Times New Roman"/>
          <w:color w:val="000000"/>
          <w:sz w:val="20"/>
          <w:szCs w:val="20"/>
        </w:rPr>
        <w:t>obody</w:t>
      </w:r>
      <w:proofErr w:type="spellEnd"/>
      <w:r>
        <w:rPr>
          <w:rFonts w:ascii="Times New Roman" w:hAnsi="Times New Roman" w:cs="Times New Roman"/>
          <w:color w:val="000000"/>
          <w:sz w:val="20"/>
          <w:szCs w:val="20"/>
        </w:rPr>
        <w:t xml:space="preserve"> should be forced into a predetermined role on account o</w:t>
      </w:r>
      <w:r>
        <w:rPr>
          <w:rFonts w:ascii="Times New Roman" w:hAnsi="Times New Roman" w:cs="Times New Roman"/>
          <w:color w:val="000000"/>
          <w:sz w:val="20"/>
          <w:szCs w:val="20"/>
        </w:rPr>
        <w:t>f sex,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punished for failing to conform to prescriptive expectations of what behavior is appropriate for one’s gender.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Ruth Bader Ginsburg,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Gender and the </w:t>
      </w:r>
      <w:hyperlink r:id="rId22" w:history="1">
        <w:r>
          <w:rPr>
            <w:rFonts w:ascii="Times New Roman" w:hAnsi="Times New Roman" w:cs="Times New Roman"/>
            <w:color w:val="0000FF"/>
            <w:sz w:val="20"/>
            <w:szCs w:val="20"/>
          </w:rPr>
          <w:t>Constitution,’ 44</w:t>
        </w:r>
      </w:hyperlink>
      <w:r>
        <w:rPr>
          <w:rFonts w:ascii="Times New Roman" w:hAnsi="Times New Roman" w:cs="Times New Roman"/>
          <w:color w:val="000000"/>
          <w:sz w:val="20"/>
          <w:szCs w:val="20"/>
        </w:rPr>
        <w:t xml:space="preserve"> U. </w:t>
      </w:r>
      <w:proofErr w:type="spellStart"/>
      <w:r>
        <w:rPr>
          <w:rFonts w:ascii="Times New Roman" w:hAnsi="Times New Roman" w:cs="Times New Roman"/>
          <w:color w:val="000000"/>
          <w:sz w:val="20"/>
          <w:szCs w:val="20"/>
        </w:rPr>
        <w:t>Cin</w:t>
      </w:r>
      <w:proofErr w:type="spellEnd"/>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L.Rev</w:t>
      </w:r>
      <w:proofErr w:type="spellEnd"/>
      <w:r>
        <w:rPr>
          <w:rFonts w:ascii="Times New Roman" w:hAnsi="Times New Roman" w:cs="Times New Roman"/>
          <w:color w:val="000000"/>
          <w:sz w:val="20"/>
          <w:szCs w:val="20"/>
        </w:rPr>
        <w:t>. 1, 1 (1975).</w:t>
      </w:r>
      <w:proofErr w:type="gramEnd"/>
      <w:r>
        <w:rPr>
          <w:rFonts w:ascii="Times New Roman" w:hAnsi="Times New Roman" w:cs="Times New Roman"/>
          <w:color w:val="000000"/>
          <w:sz w:val="20"/>
          <w:szCs w:val="20"/>
        </w:rPr>
        <w:t xml:space="preserve"> In other words, laws [and employment pr</w:t>
      </w:r>
      <w:r>
        <w:rPr>
          <w:rFonts w:ascii="Times New Roman" w:hAnsi="Times New Roman" w:cs="Times New Roman"/>
          <w:color w:val="000000"/>
          <w:sz w:val="20"/>
          <w:szCs w:val="20"/>
        </w:rPr>
        <w:t xml:space="preserve">actices] that give effect to </w:t>
      </w:r>
      <w:r>
        <w:rPr>
          <w:rFonts w:ascii="Times New Roman" w:hAnsi="Times New Roman" w:cs="Times New Roman"/>
          <w:color w:val="000000"/>
          <w:sz w:val="20"/>
          <w:szCs w:val="20"/>
        </w:rPr>
        <w:t>‘</w:t>
      </w:r>
      <w:r>
        <w:rPr>
          <w:rFonts w:ascii="Times New Roman" w:hAnsi="Times New Roman" w:cs="Times New Roman"/>
          <w:color w:val="000000"/>
          <w:sz w:val="20"/>
          <w:szCs w:val="20"/>
        </w:rPr>
        <w:t>pervasive sex-role stereotype[s]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about the behavior appropriate for men and women are damaging because they restrict individual choices by punishing those men and women who do not fit the stereotyped mold. </w:t>
      </w:r>
      <w:hyperlink r:id="rId23" w:history="1">
        <w:proofErr w:type="gramStart"/>
        <w:r>
          <w:rPr>
            <w:rFonts w:ascii="Times New Roman" w:hAnsi="Times New Roman" w:cs="Times New Roman"/>
            <w:i/>
            <w:iCs/>
            <w:color w:val="0000FF"/>
            <w:sz w:val="20"/>
            <w:szCs w:val="20"/>
          </w:rPr>
          <w:t xml:space="preserve">Nev. Dep’t of Human Res. v. </w:t>
        </w:r>
        <w:proofErr w:type="spellStart"/>
        <w:r>
          <w:rPr>
            <w:rFonts w:ascii="Times New Roman" w:hAnsi="Times New Roman" w:cs="Times New Roman"/>
            <w:i/>
            <w:iCs/>
            <w:color w:val="0000FF"/>
            <w:sz w:val="20"/>
            <w:szCs w:val="20"/>
          </w:rPr>
          <w:t>Hibbs</w:t>
        </w:r>
        <w:proofErr w:type="spellEnd"/>
        <w:r>
          <w:rPr>
            <w:rFonts w:ascii="Times New Roman" w:hAnsi="Times New Roman" w:cs="Times New Roman"/>
            <w:i/>
            <w:iCs/>
            <w:color w:val="0000FF"/>
            <w:sz w:val="20"/>
            <w:szCs w:val="20"/>
          </w:rPr>
          <w:t>,</w:t>
        </w:r>
        <w:r>
          <w:rPr>
            <w:rFonts w:ascii="Times New Roman" w:hAnsi="Times New Roman" w:cs="Times New Roman"/>
            <w:color w:val="0000FF"/>
            <w:sz w:val="20"/>
            <w:szCs w:val="20"/>
          </w:rPr>
          <w:t xml:space="preserve"> 538 U.S. 721, 738 (2003)</w:t>
        </w:r>
      </w:hyperlink>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w:t>
      </w:r>
      <w:proofErr w:type="gramEnd"/>
    </w:p>
    <w:bookmarkEnd w:id="10"/>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However, this claim fails for the same reason Isaacs’s other discrimination claims fail: He has offered no direct or circumstantial evidence to suggest that the dec</w:t>
      </w:r>
      <w:r>
        <w:rPr>
          <w:rFonts w:ascii="Times New Roman" w:hAnsi="Times New Roman" w:cs="Times New Roman"/>
          <w:color w:val="000000"/>
          <w:sz w:val="20"/>
          <w:szCs w:val="20"/>
        </w:rPr>
        <w:t>ision of Felder Services to fire him was based on his sexual orientation.</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2" w:name="co_anchor_Ic4e21bb5823811e598dc8b09b4f04"/>
      <w:bookmarkEnd w:id="12"/>
    </w:p>
    <w:p w:rsidR="00000000" w:rsidRDefault="001D47BB">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Hostile</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Work Environment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court agrees with the magistrate judge’s reasoning with respect to </w:t>
      </w:r>
      <w:r>
        <w:rPr>
          <w:rFonts w:ascii="Times New Roman" w:hAnsi="Times New Roman" w:cs="Times New Roman"/>
          <w:color w:val="000000"/>
          <w:sz w:val="20"/>
          <w:szCs w:val="20"/>
        </w:rPr>
        <w:t>this claim.</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3" w:name="co_anchor_Ic4e21bb6823811e598dc8b09b4f04"/>
      <w:bookmarkEnd w:id="13"/>
    </w:p>
    <w:p w:rsidR="00000000" w:rsidRDefault="001D47BB">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Retaliation</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magistrate judge’s reasoning with respect to this claim is adopted except to the extent that it suggests that </w:t>
      </w:r>
      <w:r>
        <w:rPr>
          <w:rFonts w:ascii="Times New Roman" w:hAnsi="Times New Roman" w:cs="Times New Roman"/>
          <w:color w:val="000000"/>
          <w:sz w:val="20"/>
          <w:szCs w:val="20"/>
        </w:rPr>
        <w:t>“</w:t>
      </w:r>
      <w:r>
        <w:rPr>
          <w:rFonts w:ascii="Times New Roman" w:hAnsi="Times New Roman" w:cs="Times New Roman"/>
          <w:color w:val="000000"/>
          <w:sz w:val="20"/>
          <w:szCs w:val="20"/>
        </w:rPr>
        <w:t>[s]</w:t>
      </w:r>
      <w:proofErr w:type="spellStart"/>
      <w:r>
        <w:rPr>
          <w:rFonts w:ascii="Times New Roman" w:hAnsi="Times New Roman" w:cs="Times New Roman"/>
          <w:color w:val="000000"/>
          <w:sz w:val="20"/>
          <w:szCs w:val="20"/>
        </w:rPr>
        <w:t>ummary</w:t>
      </w:r>
      <w:proofErr w:type="spellEnd"/>
      <w:r>
        <w:rPr>
          <w:rFonts w:ascii="Times New Roman" w:hAnsi="Times New Roman" w:cs="Times New Roman"/>
          <w:color w:val="000000"/>
          <w:sz w:val="20"/>
          <w:szCs w:val="20"/>
        </w:rPr>
        <w:t xml:space="preserve"> judgment is </w:t>
      </w:r>
      <w:r>
        <w:rPr>
          <w:rFonts w:ascii="Times New Roman" w:hAnsi="Times New Roman" w:cs="Times New Roman"/>
          <w:i/>
          <w:iCs/>
          <w:color w:val="000000"/>
          <w:sz w:val="20"/>
          <w:szCs w:val="20"/>
        </w:rPr>
        <w:t>also</w:t>
      </w:r>
      <w:r>
        <w:rPr>
          <w:rFonts w:ascii="Times New Roman" w:hAnsi="Times New Roman" w:cs="Times New Roman"/>
          <w:color w:val="000000"/>
          <w:sz w:val="20"/>
          <w:szCs w:val="20"/>
        </w:rPr>
        <w:t xml:space="preserve"> due </w:t>
      </w:r>
      <w:r>
        <w:rPr>
          <w:rFonts w:ascii="Times New Roman" w:hAnsi="Times New Roman" w:cs="Times New Roman"/>
          <w:color w:val="000000"/>
          <w:sz w:val="20"/>
          <w:szCs w:val="20"/>
        </w:rPr>
        <w:t xml:space="preserve">to be granted on the basis that Plaintiff has failed to demonstrate that retaliation was the </w:t>
      </w:r>
      <w:proofErr w:type="spellStart"/>
      <w:r>
        <w:rPr>
          <w:rFonts w:ascii="Times New Roman" w:hAnsi="Times New Roman" w:cs="Times New Roman"/>
          <w:color w:val="000000"/>
          <w:sz w:val="20"/>
          <w:szCs w:val="20"/>
        </w:rPr>
        <w:t>but</w:t>
      </w:r>
      <w:proofErr w:type="spellEnd"/>
      <w:r>
        <w:rPr>
          <w:rFonts w:ascii="Times New Roman" w:hAnsi="Times New Roman" w:cs="Times New Roman"/>
          <w:color w:val="000000"/>
          <w:sz w:val="20"/>
          <w:szCs w:val="20"/>
        </w:rPr>
        <w:t>-for cause of his termination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he has also taken the </w:t>
      </w:r>
      <w:r>
        <w:rPr>
          <w:rFonts w:ascii="Times New Roman" w:hAnsi="Times New Roman" w:cs="Times New Roman"/>
          <w:color w:val="000000"/>
          <w:sz w:val="20"/>
          <w:szCs w:val="20"/>
        </w:rPr>
        <w:t>“</w:t>
      </w:r>
      <w:r>
        <w:rPr>
          <w:rFonts w:ascii="Times New Roman" w:hAnsi="Times New Roman" w:cs="Times New Roman"/>
          <w:color w:val="000000"/>
          <w:sz w:val="20"/>
          <w:szCs w:val="20"/>
        </w:rPr>
        <w:t>position that he was terminated because he is male, because [ ] his voice does not conform to gend</w:t>
      </w:r>
      <w:r>
        <w:rPr>
          <w:rFonts w:ascii="Times New Roman" w:hAnsi="Times New Roman" w:cs="Times New Roman"/>
          <w:color w:val="000000"/>
          <w:sz w:val="20"/>
          <w:szCs w:val="20"/>
        </w:rPr>
        <w:t>er stereotypes, and because he is gay, in addition to his retaliation claim.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 &amp; R at 37 </w:t>
      </w:r>
      <w:r>
        <w:rPr>
          <w:rFonts w:ascii="Times New Roman" w:hAnsi="Times New Roman" w:cs="Times New Roman"/>
          <w:color w:val="000000"/>
          <w:sz w:val="20"/>
          <w:szCs w:val="20"/>
        </w:rPr>
        <w:lastRenderedPageBreak/>
        <w:t xml:space="preserve">(emphasis added). There may be multiple wrongful, actionable but-for causes of a termination. </w:t>
      </w:r>
      <w:r>
        <w:rPr>
          <w:rFonts w:ascii="Times New Roman" w:hAnsi="Times New Roman" w:cs="Times New Roman"/>
          <w:i/>
          <w:iCs/>
          <w:color w:val="000000"/>
          <w:sz w:val="20"/>
          <w:szCs w:val="20"/>
        </w:rPr>
        <w:t xml:space="preserve">See </w:t>
      </w:r>
      <w:proofErr w:type="spellStart"/>
      <w:r>
        <w:rPr>
          <w:rFonts w:ascii="Times New Roman" w:hAnsi="Times New Roman" w:cs="Times New Roman"/>
          <w:i/>
          <w:iCs/>
          <w:color w:val="000000"/>
          <w:sz w:val="20"/>
          <w:szCs w:val="20"/>
        </w:rPr>
        <w:t>Zann</w:t>
      </w:r>
      <w:proofErr w:type="spellEnd"/>
      <w:r>
        <w:rPr>
          <w:rFonts w:ascii="Times New Roman" w:hAnsi="Times New Roman" w:cs="Times New Roman"/>
          <w:i/>
          <w:iCs/>
          <w:color w:val="000000"/>
          <w:sz w:val="20"/>
          <w:szCs w:val="20"/>
        </w:rPr>
        <w:t xml:space="preserve"> Kwan v. </w:t>
      </w:r>
      <w:proofErr w:type="spellStart"/>
      <w:r>
        <w:rPr>
          <w:rFonts w:ascii="Times New Roman" w:hAnsi="Times New Roman" w:cs="Times New Roman"/>
          <w:i/>
          <w:iCs/>
          <w:color w:val="000000"/>
          <w:sz w:val="20"/>
          <w:szCs w:val="20"/>
        </w:rPr>
        <w:t>Andalex</w:t>
      </w:r>
      <w:proofErr w:type="spellEnd"/>
      <w:r>
        <w:rPr>
          <w:rFonts w:ascii="Times New Roman" w:hAnsi="Times New Roman" w:cs="Times New Roman"/>
          <w:i/>
          <w:iCs/>
          <w:color w:val="000000"/>
          <w:sz w:val="20"/>
          <w:szCs w:val="20"/>
        </w:rPr>
        <w:t xml:space="preserve"> Group LLC</w:t>
      </w:r>
      <w:r>
        <w:rPr>
          <w:rFonts w:ascii="Times New Roman" w:hAnsi="Times New Roman" w:cs="Times New Roman"/>
          <w:color w:val="000000"/>
          <w:sz w:val="20"/>
          <w:szCs w:val="20"/>
        </w:rPr>
        <w:t xml:space="preserve">, 737 F.2d 834, 846 n.5 (2d Cir. 2013) (explaining, in an employment-discrimination case,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 plaintiff’s injury can have multiple </w:t>
      </w:r>
      <w:r>
        <w:rPr>
          <w:rFonts w:ascii="Times New Roman" w:hAnsi="Times New Roman" w:cs="Times New Roman"/>
          <w:color w:val="000000"/>
          <w:sz w:val="20"/>
          <w:szCs w:val="20"/>
        </w:rPr>
        <w:t>‘</w:t>
      </w:r>
      <w:r>
        <w:rPr>
          <w:rFonts w:ascii="Times New Roman" w:hAnsi="Times New Roman" w:cs="Times New Roman"/>
          <w:color w:val="000000"/>
          <w:sz w:val="20"/>
          <w:szCs w:val="20"/>
        </w:rPr>
        <w:t>but-for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causes, each one of which may be sufficient to support liability</w:t>
      </w:r>
      <w:r>
        <w:rPr>
          <w:rFonts w:ascii="Times New Roman" w:hAnsi="Times New Roman" w:cs="Times New Roman"/>
          <w:color w:val="000000"/>
          <w:sz w:val="20"/>
          <w:szCs w:val="20"/>
        </w:rPr>
        <w:t>”</w:t>
      </w:r>
      <w:r>
        <w:rPr>
          <w:rFonts w:ascii="Times New Roman" w:hAnsi="Times New Roman" w:cs="Times New Roman"/>
          <w:color w:val="000000"/>
          <w:sz w:val="20"/>
          <w:szCs w:val="20"/>
        </w:rPr>
        <w:t>). Moreover, even if the multiple but-for caus</w:t>
      </w:r>
      <w:r>
        <w:rPr>
          <w:rFonts w:ascii="Times New Roman" w:hAnsi="Times New Roman" w:cs="Times New Roman"/>
          <w:color w:val="000000"/>
          <w:sz w:val="20"/>
          <w:szCs w:val="20"/>
        </w:rPr>
        <w:t>es that Isaacs alleged were in fact inconsistent</w:t>
      </w:r>
      <w:r>
        <w:rPr>
          <w:rFonts w:ascii="Times New Roman" w:hAnsi="Times New Roman" w:cs="Times New Roman"/>
          <w:color w:val="000000"/>
          <w:sz w:val="20"/>
          <w:szCs w:val="20"/>
        </w:rPr>
        <w:t>—</w:t>
      </w:r>
      <w:r>
        <w:rPr>
          <w:rFonts w:ascii="Times New Roman" w:hAnsi="Times New Roman" w:cs="Times New Roman"/>
          <w:color w:val="000000"/>
          <w:sz w:val="20"/>
          <w:szCs w:val="20"/>
        </w:rPr>
        <w:t>again, they are not</w:t>
      </w:r>
      <w:r>
        <w:rPr>
          <w:rFonts w:ascii="Times New Roman" w:hAnsi="Times New Roman" w:cs="Times New Roman"/>
          <w:color w:val="000000"/>
          <w:sz w:val="20"/>
          <w:szCs w:val="20"/>
        </w:rPr>
        <w:t>—“</w:t>
      </w:r>
      <w:r>
        <w:rPr>
          <w:rFonts w:ascii="Times New Roman" w:hAnsi="Times New Roman" w:cs="Times New Roman"/>
          <w:color w:val="000000"/>
          <w:sz w:val="20"/>
          <w:szCs w:val="20"/>
        </w:rPr>
        <w:t>[l]</w:t>
      </w:r>
      <w:proofErr w:type="spellStart"/>
      <w:r>
        <w:rPr>
          <w:rFonts w:ascii="Times New Roman" w:hAnsi="Times New Roman" w:cs="Times New Roman"/>
          <w:color w:val="000000"/>
          <w:sz w:val="20"/>
          <w:szCs w:val="20"/>
        </w:rPr>
        <w:t>itigants</w:t>
      </w:r>
      <w:proofErr w:type="spellEnd"/>
      <w:r>
        <w:rPr>
          <w:rFonts w:ascii="Times New Roman" w:hAnsi="Times New Roman" w:cs="Times New Roman"/>
          <w:color w:val="000000"/>
          <w:sz w:val="20"/>
          <w:szCs w:val="20"/>
        </w:rPr>
        <w:t xml:space="preserve"> in federal court may pursue alternative theories of recovery, regardless of their consistency,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without the articulation of one theory prejudicing the litigant’s entitlem</w:t>
      </w:r>
      <w:r>
        <w:rPr>
          <w:rFonts w:ascii="Times New Roman" w:hAnsi="Times New Roman" w:cs="Times New Roman"/>
          <w:color w:val="000000"/>
          <w:sz w:val="20"/>
          <w:szCs w:val="20"/>
        </w:rPr>
        <w:t xml:space="preserve">ent to relief on another. </w:t>
      </w:r>
      <w:hyperlink r:id="rId24" w:history="1">
        <w:r>
          <w:rPr>
            <w:rFonts w:ascii="Times New Roman" w:hAnsi="Times New Roman" w:cs="Times New Roman"/>
            <w:i/>
            <w:iCs/>
            <w:color w:val="0000FF"/>
            <w:sz w:val="20"/>
            <w:szCs w:val="20"/>
          </w:rPr>
          <w:t>Allstate Ins. Co. v. James</w:t>
        </w:r>
        <w:r>
          <w:rPr>
            <w:rFonts w:ascii="Times New Roman" w:hAnsi="Times New Roman" w:cs="Times New Roman"/>
            <w:color w:val="0000FF"/>
            <w:sz w:val="20"/>
            <w:szCs w:val="20"/>
          </w:rPr>
          <w:t>, 779 F.2d 1536, 1540 (11th Cir. 1986)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25" w:history="1">
        <w:proofErr w:type="spellStart"/>
        <w:r>
          <w:rPr>
            <w:rFonts w:ascii="Times New Roman" w:hAnsi="Times New Roman" w:cs="Times New Roman"/>
            <w:color w:val="0000FF"/>
            <w:sz w:val="20"/>
            <w:szCs w:val="20"/>
          </w:rPr>
          <w:t>Fed.R.Civ.P</w:t>
        </w:r>
        <w:proofErr w:type="spellEnd"/>
        <w:r>
          <w:rPr>
            <w:rFonts w:ascii="Times New Roman" w:hAnsi="Times New Roman" w:cs="Times New Roman"/>
            <w:color w:val="0000FF"/>
            <w:sz w:val="20"/>
            <w:szCs w:val="20"/>
          </w:rPr>
          <w:t>. 8(d</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3)</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A party may state as many separate claims or defenses as it has, regardless of co</w:t>
      </w:r>
      <w:r>
        <w:rPr>
          <w:rFonts w:ascii="Times New Roman" w:hAnsi="Times New Roman" w:cs="Times New Roman"/>
          <w:color w:val="000000"/>
          <w:sz w:val="20"/>
          <w:szCs w:val="20"/>
        </w:rPr>
        <w:t>nsistency.</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 appropriate judgment will be entered.</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4" w:name="co_anchor_Ic4e21bb7823811e598dc8b09b4f04"/>
      <w:bookmarkEnd w:id="14"/>
    </w:p>
    <w:p w:rsidR="00000000" w:rsidRDefault="001D47BB">
      <w:pPr>
        <w:widowControl w:val="0"/>
        <w:autoSpaceDE w:val="0"/>
        <w:autoSpaceDN w:val="0"/>
        <w:adjustRightInd w:val="0"/>
        <w:spacing w:before="4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JUDGMENT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accordance with the memorandum opinion entered today, it is the ORDER, JUDGMENT, and DECREE of the court</w:t>
      </w:r>
      <w:r>
        <w:rPr>
          <w:rFonts w:ascii="Times New Roman" w:hAnsi="Times New Roman" w:cs="Times New Roman"/>
          <w:color w:val="000000"/>
          <w:sz w:val="20"/>
          <w:szCs w:val="20"/>
        </w:rPr>
        <w:t xml:space="preserve"> as follows: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The United States Magistrate Judge’s recommendation (doc. no. 41) is adopted for the reasons set out in the opinion.</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Defendant Felder Services, LLC’s motion for summary judgment (doc. no. 27) is granted.</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Judgment is entered in favor of defendant Felder Services, LLC and against plaintiff Roger Isaacs, with plaintiff Isaacs taking nothing by his complaint.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 is further ORDERED that costs are taxed against plaintiff Isaacs, for which execution may iss</w:t>
      </w:r>
      <w:r>
        <w:rPr>
          <w:rFonts w:ascii="Times New Roman" w:hAnsi="Times New Roman" w:cs="Times New Roman"/>
          <w:color w:val="000000"/>
          <w:sz w:val="20"/>
          <w:szCs w:val="20"/>
        </w:rPr>
        <w:t>ue.</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clerk of the court is DIRECTED to enter this document on the civil docket as a final judgment pursuant to </w:t>
      </w:r>
      <w:hyperlink r:id="rId26" w:history="1">
        <w:r>
          <w:rPr>
            <w:rFonts w:ascii="Times New Roman" w:hAnsi="Times New Roman" w:cs="Times New Roman"/>
            <w:color w:val="0000FF"/>
            <w:sz w:val="20"/>
            <w:szCs w:val="20"/>
          </w:rPr>
          <w:t>Rule 58 of the Federal Rules of Civil Procedure</w:t>
        </w:r>
      </w:hyperlink>
      <w:r>
        <w:rPr>
          <w:rFonts w:ascii="Times New Roman" w:hAnsi="Times New Roman" w:cs="Times New Roman"/>
          <w:color w:val="000000"/>
          <w:sz w:val="20"/>
          <w:szCs w:val="20"/>
        </w:rPr>
        <w:t>.</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This case is closed.</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000000" w:rsidRDefault="001D47BB">
      <w:pPr>
        <w:widowControl w:val="0"/>
        <w:autoSpaceDE w:val="0"/>
        <w:autoSpaceDN w:val="0"/>
        <w:adjustRightInd w:val="0"/>
        <w:spacing w:before="400" w:line="240" w:lineRule="auto"/>
        <w:jc w:val="both"/>
        <w:rPr>
          <w:rFonts w:ascii="Times New Roman" w:hAnsi="Times New Roman" w:cs="Times New Roman"/>
          <w:b/>
          <w:bCs/>
          <w:color w:val="252525"/>
          <w:sz w:val="20"/>
          <w:szCs w:val="20"/>
        </w:rPr>
      </w:pPr>
      <w:bookmarkStart w:id="15" w:name="co_allCitations_1"/>
      <w:bookmarkEnd w:id="15"/>
      <w:r>
        <w:rPr>
          <w:rFonts w:ascii="Times New Roman" w:hAnsi="Times New Roman" w:cs="Times New Roman"/>
          <w:b/>
          <w:bCs/>
          <w:color w:val="252525"/>
          <w:sz w:val="20"/>
          <w:szCs w:val="20"/>
        </w:rPr>
        <w:t>All Citations</w:t>
      </w:r>
    </w:p>
    <w:p w:rsidR="00000000" w:rsidRDefault="001D47BB">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Slip Copy, 20</w:t>
      </w:r>
      <w:r>
        <w:rPr>
          <w:rFonts w:ascii="Times New Roman" w:hAnsi="Times New Roman" w:cs="Times New Roman"/>
          <w:color w:val="000000"/>
          <w:sz w:val="20"/>
          <w:szCs w:val="20"/>
        </w:rPr>
        <w:t>15 WL 6560655</w:t>
      </w:r>
    </w:p>
    <w:p w:rsidR="00000000" w:rsidRDefault="001D47BB">
      <w:pPr>
        <w:widowControl w:val="0"/>
        <w:autoSpaceDE w:val="0"/>
        <w:autoSpaceDN w:val="0"/>
        <w:adjustRightInd w:val="0"/>
        <w:spacing w:after="0" w:line="240" w:lineRule="auto"/>
        <w:rPr>
          <w:rFonts w:ascii="sans-serif" w:hAnsi="sans-serif" w:cs="sans-serif"/>
          <w:color w:val="000000"/>
          <w:sz w:val="24"/>
          <w:szCs w:val="24"/>
        </w:rPr>
      </w:pPr>
    </w:p>
    <w:p w:rsidR="00000000" w:rsidRDefault="001D47BB">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000000">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rsidR="00000000" w:rsidRDefault="001D47BB">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sans-serif" w:hAnsi="sans-serif" w:cs="sans-serif"/>
                <w:b/>
                <w:bCs/>
                <w:color w:val="777777"/>
                <w:sz w:val="16"/>
                <w:szCs w:val="16"/>
              </w:rPr>
              <w:lastRenderedPageBreak/>
              <w:t>End of Document</w:t>
            </w:r>
          </w:p>
          <w:p w:rsidR="00000000" w:rsidRDefault="001D47BB">
            <w:pPr>
              <w:widowControl w:val="0"/>
              <w:autoSpaceDE w:val="0"/>
              <w:autoSpaceDN w:val="0"/>
              <w:adjustRightInd w:val="0"/>
              <w:spacing w:after="0" w:line="240" w:lineRule="auto"/>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rsidR="00000000" w:rsidRDefault="001D47BB">
            <w:pPr>
              <w:widowControl w:val="0"/>
              <w:autoSpaceDE w:val="0"/>
              <w:autoSpaceDN w:val="0"/>
              <w:adjustRightInd w:val="0"/>
              <w:spacing w:after="0" w:line="240" w:lineRule="auto"/>
              <w:ind w:left="24" w:right="24"/>
              <w:jc w:val="right"/>
              <w:rPr>
                <w:rFonts w:ascii="sans-serif" w:hAnsi="sans-serif" w:cs="sans-serif"/>
                <w:color w:val="777777"/>
                <w:sz w:val="16"/>
                <w:szCs w:val="16"/>
              </w:rPr>
            </w:pPr>
            <w:r>
              <w:rPr>
                <w:rFonts w:ascii="sans-serif" w:hAnsi="sans-serif" w:cs="sans-serif"/>
                <w:color w:val="777777"/>
                <w:sz w:val="16"/>
                <w:szCs w:val="16"/>
              </w:rPr>
              <w:t>©</w:t>
            </w:r>
            <w:r>
              <w:rPr>
                <w:rFonts w:ascii="sans-serif" w:hAnsi="sans-serif" w:cs="sans-serif"/>
                <w:color w:val="777777"/>
                <w:sz w:val="16"/>
                <w:szCs w:val="16"/>
              </w:rPr>
              <w:t xml:space="preserve"> 2015 Thomson Reuters. No claim to original U.S. Government Works.</w:t>
            </w:r>
          </w:p>
          <w:p w:rsidR="00000000" w:rsidRDefault="001D47BB">
            <w:pPr>
              <w:widowControl w:val="0"/>
              <w:autoSpaceDE w:val="0"/>
              <w:autoSpaceDN w:val="0"/>
              <w:adjustRightInd w:val="0"/>
              <w:spacing w:after="0" w:line="240" w:lineRule="auto"/>
              <w:ind w:left="24" w:right="24"/>
              <w:jc w:val="right"/>
              <w:rPr>
                <w:rFonts w:ascii="sans-serif" w:hAnsi="sans-serif" w:cs="sans-serif"/>
                <w:color w:val="777777"/>
                <w:sz w:val="16"/>
                <w:szCs w:val="16"/>
              </w:rPr>
            </w:pPr>
          </w:p>
        </w:tc>
      </w:tr>
    </w:tbl>
    <w:p w:rsidR="00000000" w:rsidRDefault="001D47BB">
      <w:pPr>
        <w:widowControl w:val="0"/>
        <w:autoSpaceDE w:val="0"/>
        <w:autoSpaceDN w:val="0"/>
        <w:adjustRightInd w:val="0"/>
        <w:spacing w:after="0" w:line="240" w:lineRule="auto"/>
        <w:rPr>
          <w:rFonts w:ascii="Arial" w:hAnsi="Arial" w:cs="Arial"/>
          <w:sz w:val="24"/>
          <w:szCs w:val="24"/>
        </w:rPr>
      </w:pPr>
    </w:p>
    <w:p w:rsidR="00000000" w:rsidRDefault="001D47BB">
      <w:pPr>
        <w:widowControl w:val="0"/>
        <w:autoSpaceDE w:val="0"/>
        <w:autoSpaceDN w:val="0"/>
        <w:adjustRightInd w:val="0"/>
        <w:spacing w:after="0" w:line="240" w:lineRule="auto"/>
        <w:rPr>
          <w:rFonts w:ascii="Times New Roman" w:hAnsi="Times New Roman" w:cs="Times New Roman"/>
          <w:sz w:val="24"/>
          <w:szCs w:val="24"/>
        </w:rPr>
      </w:pPr>
    </w:p>
    <w:p w:rsidR="00000000" w:rsidRDefault="001D47BB">
      <w:pPr>
        <w:widowControl w:val="0"/>
        <w:autoSpaceDE w:val="0"/>
        <w:autoSpaceDN w:val="0"/>
        <w:adjustRightInd w:val="0"/>
        <w:spacing w:after="0" w:line="240" w:lineRule="auto"/>
        <w:rPr>
          <w:rFonts w:ascii="Arial" w:hAnsi="Arial" w:cs="Arial"/>
          <w:sz w:val="24"/>
          <w:szCs w:val="24"/>
        </w:rPr>
        <w:sectPr w:rsidR="00000000">
          <w:type w:val="continuous"/>
          <w:pgSz w:w="12240" w:h="15840"/>
          <w:pgMar w:top="1080" w:right="1080" w:bottom="1080" w:left="1080" w:header="720" w:footer="720" w:gutter="0"/>
          <w:cols w:space="720"/>
          <w:noEndnote/>
        </w:sectPr>
      </w:pPr>
    </w:p>
    <w:p w:rsidR="00000000" w:rsidRDefault="001D47BB">
      <w:pPr>
        <w:widowControl w:val="0"/>
        <w:autoSpaceDE w:val="0"/>
        <w:autoSpaceDN w:val="0"/>
        <w:adjustRightInd w:val="0"/>
        <w:spacing w:after="0" w:line="240" w:lineRule="auto"/>
        <w:rPr>
          <w:rFonts w:ascii="Arial" w:hAnsi="Arial" w:cs="Arial"/>
          <w:sz w:val="24"/>
          <w:szCs w:val="24"/>
        </w:rPr>
      </w:pPr>
    </w:p>
    <w:sectPr w:rsidR="00000000">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7BB">
      <w:pPr>
        <w:spacing w:after="0" w:line="240" w:lineRule="auto"/>
      </w:pPr>
      <w:r>
        <w:separator/>
      </w:r>
    </w:p>
  </w:endnote>
  <w:endnote w:type="continuationSeparator" w:id="0">
    <w:p w:rsidR="00000000" w:rsidRDefault="001D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rsidR="00000000" w:rsidRDefault="001D47BB">
          <w:pPr>
            <w:widowControl w:val="0"/>
            <w:autoSpaceDE w:val="0"/>
            <w:autoSpaceDN w:val="0"/>
            <w:adjustRightInd w:val="0"/>
            <w:spacing w:after="0" w:line="240" w:lineRule="auto"/>
            <w:rPr>
              <w:rFonts w:ascii="Arial" w:hAnsi="Arial" w:cs="Arial"/>
              <w:color w:val="AAAAAA"/>
              <w:sz w:val="20"/>
              <w:szCs w:val="20"/>
            </w:rPr>
          </w:pPr>
          <w:r>
            <w:rPr>
              <w:rFonts w:ascii="Arial" w:hAnsi="Arial" w:cs="Arial"/>
              <w:color w:val="AAAAA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9pt;height:7.5pt">
                <v:imagedata r:id="rId1" o:title=""/>
              </v:shape>
            </w:pict>
          </w:r>
          <w:r>
            <w:rPr>
              <w:rFonts w:ascii="Arial" w:hAnsi="Arial" w:cs="Arial"/>
              <w:color w:val="AAAAAA"/>
              <w:sz w:val="20"/>
              <w:szCs w:val="20"/>
            </w:rPr>
            <w:t xml:space="preserve"> </w:t>
          </w:r>
          <w:r>
            <w:rPr>
              <w:rFonts w:ascii="Arial" w:hAnsi="Arial" w:cs="Arial"/>
              <w:color w:val="AAAAAA"/>
              <w:sz w:val="20"/>
              <w:szCs w:val="20"/>
            </w:rPr>
            <w:t>©</w:t>
          </w:r>
          <w:r>
            <w:rPr>
              <w:rFonts w:ascii="Arial" w:hAnsi="Arial" w:cs="Arial"/>
              <w:color w:val="AAAAAA"/>
              <w:sz w:val="20"/>
              <w:szCs w:val="20"/>
            </w:rPr>
            <w:t xml:space="preserve"> 2015 Thomson Reuters. No claim to original U.S. Government Works.</w:t>
          </w:r>
        </w:p>
      </w:tc>
      <w:tc>
        <w:tcPr>
          <w:tcW w:w="700" w:type="dxa"/>
          <w:tcBorders>
            <w:top w:val="single" w:sz="8" w:space="0" w:color="AAAAAA"/>
            <w:left w:val="nil"/>
            <w:bottom w:val="nil"/>
            <w:right w:val="nil"/>
          </w:tcBorders>
          <w:tcMar>
            <w:top w:w="60" w:type="dxa"/>
          </w:tcMar>
        </w:tcPr>
        <w:p w:rsidR="00000000" w:rsidRDefault="001D47BB">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000000" w:rsidRDefault="001D47B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7BB">
      <w:pPr>
        <w:spacing w:after="0" w:line="240" w:lineRule="auto"/>
      </w:pPr>
      <w:r>
        <w:separator/>
      </w:r>
    </w:p>
  </w:footnote>
  <w:footnote w:type="continuationSeparator" w:id="0">
    <w:p w:rsidR="00000000" w:rsidRDefault="001D4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rsidR="00000000" w:rsidRDefault="001D47BB">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Isaacs v. Felder Services, LLC, Slip Copy (2015)</w:t>
          </w:r>
        </w:p>
      </w:tc>
      <w:tc>
        <w:tcPr>
          <w:tcW w:w="700" w:type="dxa"/>
          <w:tcBorders>
            <w:top w:val="nil"/>
            <w:left w:val="nil"/>
            <w:bottom w:val="single" w:sz="8" w:space="0" w:color="AAAAAA"/>
            <w:right w:val="nil"/>
          </w:tcBorders>
          <w:tcMar>
            <w:top w:w="400" w:type="dxa"/>
            <w:bottom w:w="60" w:type="dxa"/>
          </w:tcMar>
        </w:tcPr>
        <w:p w:rsidR="00000000" w:rsidRDefault="001D47BB">
          <w:pPr>
            <w:widowControl w:val="0"/>
            <w:autoSpaceDE w:val="0"/>
            <w:autoSpaceDN w:val="0"/>
            <w:adjustRightInd w:val="0"/>
            <w:spacing w:after="0" w:line="240" w:lineRule="auto"/>
            <w:jc w:val="right"/>
            <w:rPr>
              <w:rFonts w:ascii="Arial" w:hAnsi="Arial" w:cs="Arial"/>
              <w:color w:val="000000"/>
              <w:sz w:val="18"/>
              <w:szCs w:val="18"/>
            </w:rPr>
          </w:pPr>
        </w:p>
      </w:tc>
    </w:tr>
    <w:tr w:rsidR="00000000">
      <w:tblPrEx>
        <w:tblCellMar>
          <w:top w:w="0" w:type="dxa"/>
          <w:left w:w="0" w:type="dxa"/>
          <w:bottom w:w="0" w:type="dxa"/>
          <w:right w:w="0" w:type="dxa"/>
        </w:tblCellMar>
      </w:tblPrEx>
      <w:tc>
        <w:tcPr>
          <w:tcW w:w="10080" w:type="dxa"/>
          <w:gridSpan w:val="2"/>
          <w:tcBorders>
            <w:top w:val="nil"/>
            <w:left w:val="nil"/>
            <w:bottom w:val="nil"/>
            <w:right w:val="nil"/>
          </w:tcBorders>
        </w:tcPr>
        <w:p w:rsidR="00000000" w:rsidRDefault="001D47BB">
          <w:pPr>
            <w:widowControl w:val="0"/>
            <w:autoSpaceDE w:val="0"/>
            <w:autoSpaceDN w:val="0"/>
            <w:adjustRightInd w:val="0"/>
            <w:spacing w:after="0" w:line="240" w:lineRule="auto"/>
            <w:rPr>
              <w:rFonts w:ascii="Arial" w:hAnsi="Arial" w:cs="Arial"/>
              <w:color w:val="000000"/>
              <w:sz w:val="18"/>
              <w:szCs w:val="18"/>
            </w:rPr>
          </w:pPr>
        </w:p>
      </w:tc>
    </w:tr>
  </w:tbl>
  <w:p w:rsidR="00000000" w:rsidRDefault="001D47BB">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7BB"/>
    <w:rsid w:val="001D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h&amp;pubNum=176284&amp;cite=0424741101&amp;originatingDoc=I1934ba207f0811e5804ce6d32254bbbf&amp;refType=RQ&amp;originationContext=document&amp;vr=3.0&amp;rs=cblt1.0&amp;transitionType=DocumentItem&amp;contextData=(sc.Keycite)" TargetMode="External"/><Relationship Id="rId13" Type="http://schemas.openxmlformats.org/officeDocument/2006/relationships/hyperlink" Target="http://www.westlaw.com/Link/Document/FullText?findType=Y&amp;serNum=2033642710&amp;pubNum=0000999&amp;originatingDoc=I1934ba207f0811e5804ce6d32254bbbf&amp;refType=RP&amp;originationContext=document&amp;vr=3.0&amp;rs=cblt1.0&amp;transitionType=DocumentItem&amp;contextData=(sc.Keycite)" TargetMode="External"/><Relationship Id="rId18" Type="http://schemas.openxmlformats.org/officeDocument/2006/relationships/hyperlink" Target="http://www.westlaw.com/Link/Document/FullText?findType=Y&amp;serNum=1986127867&amp;pubNum=0000350&amp;originatingDoc=I1934ba207f0811e5804ce6d32254bbbf&amp;refType=RP&amp;fi=co_pp_sp_350_892&amp;originationContext=document&amp;vr=3.0&amp;rs=cblt1.0&amp;transitionType=DocumentItem&amp;contextData=(sc.Keycite)#co_pp_sp_350_892" TargetMode="External"/><Relationship Id="rId26" Type="http://schemas.openxmlformats.org/officeDocument/2006/relationships/hyperlink" Target="http://www.westlaw.com/Link/Document/FullText?findType=L&amp;pubNum=1000600&amp;cite=USFRCPR58&amp;originatingDoc=I1934ba207f0811e5804ce6d32254bbbf&amp;refType=LQ&amp;originationContext=document&amp;vr=3.0&amp;rs=cblt1.0&amp;transitionType=DocumentItem&amp;contextData=(sc.Keycite)" TargetMode="External"/><Relationship Id="rId3" Type="http://schemas.openxmlformats.org/officeDocument/2006/relationships/webSettings" Target="webSettings.xml"/><Relationship Id="rId21" Type="http://schemas.openxmlformats.org/officeDocument/2006/relationships/hyperlink" Target="http://www.westlaw.com/Link/Document/FullText?findType=Y&amp;serNum=2034524736&amp;pubNum=0000506&amp;originatingDoc=I1934ba207f0811e5804ce6d32254bbbf&amp;refType=RP&amp;fi=co_pp_sp_506_486&amp;originationContext=document&amp;vr=3.0&amp;rs=cblt1.0&amp;transitionType=DocumentItem&amp;contextData=(sc.Keycite)#co_pp_sp_506_486" TargetMode="External"/><Relationship Id="rId7" Type="http://schemas.openxmlformats.org/officeDocument/2006/relationships/footer" Target="footer1.xml"/><Relationship Id="rId12" Type="http://schemas.openxmlformats.org/officeDocument/2006/relationships/hyperlink" Target="http://www.westlaw.com/Link/Document/FullText?findType=L&amp;pubNum=1000600&amp;cite=USFRCPR59&amp;originatingDoc=I1934ba207f0811e5804ce6d32254bbbf&amp;refType=LQ&amp;originationContext=document&amp;vr=3.0&amp;rs=cblt1.0&amp;transitionType=DocumentItem&amp;contextData=(sc.Keycite)" TargetMode="External"/><Relationship Id="rId17" Type="http://schemas.openxmlformats.org/officeDocument/2006/relationships/hyperlink" Target="http://www.westlaw.com/Link/Document/FullText?findType=Y&amp;serNum=2036727994&amp;pubNum=0000999&amp;originatingDoc=I1934ba207f0811e5804ce6d32254bbbf&amp;refType=RP&amp;originationContext=document&amp;vr=3.0&amp;rs=cblt1.0&amp;transitionType=DocumentItem&amp;contextData=(sc.Keycite)" TargetMode="External"/><Relationship Id="rId25" Type="http://schemas.openxmlformats.org/officeDocument/2006/relationships/hyperlink" Target="http://www.westlaw.com/Link/Document/FullText?findType=L&amp;pubNum=1000600&amp;cite=USFRCPR8&amp;originatingDoc=I1934ba207f0811e5804ce6d32254bbbf&amp;refType=LQ&amp;originationContext=document&amp;vr=3.0&amp;rs=cblt1.0&amp;transitionType=DocumentItem&amp;contextData=(sc.Keycite)" TargetMode="External"/><Relationship Id="rId2" Type="http://schemas.openxmlformats.org/officeDocument/2006/relationships/settings" Target="settings.xml"/><Relationship Id="rId16" Type="http://schemas.openxmlformats.org/officeDocument/2006/relationships/hyperlink" Target="http://www.westlaw.com/Link/Document/FullText?findType=Y&amp;serNum=2034309075&amp;pubNum=0000506&amp;originatingDoc=I1934ba207f0811e5804ce6d32254bbbf&amp;refType=RP&amp;originationContext=document&amp;vr=3.0&amp;rs=cblt1.0&amp;transitionType=DocumentItem&amp;contextData=(sc.Keycite)" TargetMode="External"/><Relationship Id="rId20" Type="http://schemas.openxmlformats.org/officeDocument/2006/relationships/hyperlink" Target="http://www.westlaw.com/Link/Document/FullText?findType=Y&amp;serNum=2036727994&amp;pubNum=0000999&amp;originatingDoc=I1934ba207f0811e5804ce6d32254bbbf&amp;refType=DE&amp;originationContext=document&amp;vr=3.0&amp;rs=cblt1.0&amp;transitionType=DocumentItem&amp;contextData=(sc.Keycite)"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westlaw.com/Link/Document/FullText?findType=L&amp;pubNum=1000546&amp;cite=42USCAS2000E&amp;originatingDoc=I1934ba207f0811e5804ce6d32254bbbf&amp;refType=LQ&amp;originationContext=document&amp;vr=3.0&amp;rs=cblt1.0&amp;transitionType=DocumentItem&amp;contextData=(sc.Keycite)" TargetMode="External"/><Relationship Id="rId24" Type="http://schemas.openxmlformats.org/officeDocument/2006/relationships/hyperlink" Target="http://www.westlaw.com/Link/Document/FullText?findType=Y&amp;serNum=1985163091&amp;pubNum=0000350&amp;originatingDoc=I1934ba207f0811e5804ce6d32254bbbf&amp;refType=RP&amp;fi=co_pp_sp_350_1540&amp;originationContext=document&amp;vr=3.0&amp;rs=cblt1.0&amp;transitionType=DocumentItem&amp;contextData=(sc.Keycite)#co_pp_sp_350_1540" TargetMode="External"/><Relationship Id="rId5" Type="http://schemas.openxmlformats.org/officeDocument/2006/relationships/endnotes" Target="endnotes.xml"/><Relationship Id="rId15" Type="http://schemas.openxmlformats.org/officeDocument/2006/relationships/hyperlink" Target="http://www.westlaw.com/Link/Document/FullText?findType=Y&amp;serNum=2037157073&amp;pubNum=0000999&amp;originatingDoc=I1934ba207f0811e5804ce6d32254bbbf&amp;refType=RP&amp;originationContext=document&amp;vr=3.0&amp;rs=cblt1.0&amp;transitionType=DocumentItem&amp;contextData=(sc.Keycite)" TargetMode="External"/><Relationship Id="rId23" Type="http://schemas.openxmlformats.org/officeDocument/2006/relationships/hyperlink" Target="http://www.westlaw.com/Link/Document/FullText?findType=Y&amp;serNum=2003378344&amp;pubNum=0000780&amp;originatingDoc=I1934ba207f0811e5804ce6d32254bbbf&amp;refType=RP&amp;fi=co_pp_sp_780_738&amp;originationContext=document&amp;vr=3.0&amp;rs=cblt1.0&amp;transitionType=DocumentItem&amp;contextData=(sc.Keycite)#co_pp_sp_780_738" TargetMode="External"/><Relationship Id="rId28" Type="http://schemas.openxmlformats.org/officeDocument/2006/relationships/theme" Target="theme/theme1.xml"/><Relationship Id="rId10" Type="http://schemas.openxmlformats.org/officeDocument/2006/relationships/hyperlink" Target="http://www.westlaw.com/Link/Document/FullText?findType=h&amp;pubNum=176284&amp;cite=0196281801&amp;originatingDoc=I1934ba207f0811e5804ce6d32254bbbf&amp;refType=RQ&amp;originationContext=document&amp;vr=3.0&amp;rs=cblt1.0&amp;transitionType=DocumentItem&amp;contextData=(sc.Keycite)" TargetMode="External"/><Relationship Id="rId19" Type="http://schemas.openxmlformats.org/officeDocument/2006/relationships/hyperlink" Target="http://www.westlaw.com/Link/Document/FullText?findType=Y&amp;serNum=0104965704&amp;pubNum=0001206&amp;originatingDoc=I1934ba207f0811e5804ce6d32254bbbf&amp;refType=LR&amp;fi=co_pp_sp_1206_208&amp;originationContext=document&amp;vr=3.0&amp;rs=cblt1.0&amp;transitionType=DocumentItem&amp;contextData=(sc.Keycite)#co_pp_sp_1206_208" TargetMode="External"/><Relationship Id="rId4" Type="http://schemas.openxmlformats.org/officeDocument/2006/relationships/footnotes" Target="footnotes.xml"/><Relationship Id="rId9" Type="http://schemas.openxmlformats.org/officeDocument/2006/relationships/hyperlink" Target="http://www.westlaw.com/Link/Document/FullText?findType=h&amp;pubNum=176284&amp;cite=0341665301&amp;originatingDoc=I1934ba207f0811e5804ce6d32254bbbf&amp;refType=RQ&amp;originationContext=document&amp;vr=3.0&amp;rs=cblt1.0&amp;transitionType=DocumentItem&amp;contextData=(sc.Keycite)" TargetMode="External"/><Relationship Id="rId14" Type="http://schemas.openxmlformats.org/officeDocument/2006/relationships/hyperlink" Target="http://www.westlaw.com/Link/Document/FullText?findType=Y&amp;serNum=1997128993&amp;pubNum=0000506&amp;originatingDoc=I1934ba207f0811e5804ce6d32254bbbf&amp;refType=RP&amp;fi=co_pp_sp_506_1562&amp;originationContext=document&amp;vr=3.0&amp;rs=cblt1.0&amp;transitionType=DocumentItem&amp;contextData=(sc.Keycite)#co_pp_sp_506_1562" TargetMode="External"/><Relationship Id="rId22" Type="http://schemas.openxmlformats.org/officeDocument/2006/relationships/hyperlink" Target="http://www.westlaw.com/Link/Document/FullText?findType=L&amp;pubNum=1000526&amp;cite=ALCNARTIVS44&amp;originatingDoc=I1934ba207f0811e5804ce6d32254bbbf&amp;refType=LQ&amp;originationContext=document&amp;vr=3.0&amp;rs=cblt1.0&amp;transitionType=DocumentItem&amp;contextData=(sc.Keycit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3121</Words>
  <Characters>17791</Characters>
  <Application>Microsoft Office Word</Application>
  <DocSecurity>4</DocSecurity>
  <Lines>148</Lines>
  <Paragraphs>41</Paragraphs>
  <ScaleCrop>false</ScaleCrop>
  <Company>U.S. EEOC</Company>
  <LinksUpToDate>false</LinksUpToDate>
  <CharactersWithSpaces>20871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BLUE</dc:creator>
  <cp:lastModifiedBy>EDWARD BLUE</cp:lastModifiedBy>
  <cp:revision>2</cp:revision>
  <cp:lastPrinted>2015-11-03T17:03:00Z</cp:lastPrinted>
  <dcterms:created xsi:type="dcterms:W3CDTF">2015-11-03T17:08:00Z</dcterms:created>
  <dcterms:modified xsi:type="dcterms:W3CDTF">2015-11-03T17:08:00Z</dcterms:modified>
</cp:coreProperties>
</file>